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52" w:rsidRDefault="00BC115B">
      <w:pPr>
        <w:pStyle w:val="Header"/>
        <w:tabs>
          <w:tab w:val="clear" w:pos="4320"/>
          <w:tab w:val="clear" w:pos="8640"/>
        </w:tabs>
        <w:rPr>
          <w:rFonts w:eastAsia="MS Mincho"/>
        </w:rPr>
      </w:pPr>
      <w:r w:rsidRPr="00BC11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85pt;margin-top:-15.1pt;width:243pt;height:54pt;z-index:251657728;mso-wrap-edited:f" filled="f" stroked="f">
            <v:textbox style="mso-next-textbox:#_x0000_s1026">
              <w:txbxContent>
                <w:p w:rsidR="00C37952" w:rsidRDefault="00C37952">
                  <w:pPr>
                    <w:rPr>
                      <w:rFonts w:ascii="Lucida Sans" w:hAnsi="Lucida Sans"/>
                      <w:sz w:val="28"/>
                    </w:rPr>
                  </w:pPr>
                  <w:r>
                    <w:rPr>
                      <w:rFonts w:ascii="Lucida Sans" w:hAnsi="Lucida Sans"/>
                      <w:sz w:val="28"/>
                    </w:rPr>
                    <w:t>The Center for</w:t>
                  </w:r>
                </w:p>
                <w:p w:rsidR="00C37952" w:rsidRDefault="00C37952">
                  <w:pPr>
                    <w:rPr>
                      <w:rFonts w:ascii="Lucida Sans" w:hAnsi="Lucida Sans"/>
                      <w:sz w:val="28"/>
                    </w:rPr>
                  </w:pPr>
                  <w:r>
                    <w:rPr>
                      <w:rFonts w:ascii="Lucida Sans" w:hAnsi="Lucida Sans"/>
                      <w:sz w:val="28"/>
                    </w:rPr>
                    <w:t>Voting and Democracy</w:t>
                  </w:r>
                </w:p>
                <w:p w:rsidR="00C37952" w:rsidRDefault="00C37952">
                  <w:pPr>
                    <w:rPr>
                      <w:rFonts w:ascii="Lucida Sans" w:hAnsi="Lucida Sans"/>
                      <w:sz w:val="28"/>
                    </w:rPr>
                  </w:pPr>
                </w:p>
              </w:txbxContent>
            </v:textbox>
          </v:shape>
        </w:pict>
      </w:r>
      <w:r w:rsidR="0005604F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-536575</wp:posOffset>
            </wp:positionH>
            <wp:positionV relativeFrom="paragraph">
              <wp:posOffset>-591820</wp:posOffset>
            </wp:positionV>
            <wp:extent cx="776605" cy="941070"/>
            <wp:effectExtent l="19050" t="0" r="4445" b="0"/>
            <wp:wrapSquare wrapText="bothSides"/>
            <wp:docPr id="3" name="Picture 24" descr="logo_300dpi_1inch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_300dpi_1inch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15B">
        <w:rPr>
          <w:noProof/>
        </w:rPr>
        <w:pict>
          <v:shape id="_x0000_s1028" type="#_x0000_t202" style="position:absolute;margin-left:217.85pt;margin-top:-19.6pt;width:270pt;height:54pt;z-index:251658752;mso-position-horizontal-relative:text;mso-position-vertical-relative:text" stroked="f">
            <v:textbox>
              <w:txbxContent>
                <w:p w:rsidR="00C37952" w:rsidRDefault="00C37952">
                  <w:pPr>
                    <w:jc w:val="right"/>
                    <w:rPr>
                      <w:rFonts w:ascii="Lucida Sans" w:hAnsi="Lucida Sans"/>
                      <w:sz w:val="18"/>
                    </w:rPr>
                  </w:pPr>
                  <w:r>
                    <w:rPr>
                      <w:rFonts w:ascii="Lucida Sans" w:hAnsi="Lucida Sans"/>
                      <w:sz w:val="18"/>
                    </w:rPr>
                    <w:t>6930 Carroll Ave., Suite 610</w:t>
                  </w:r>
                </w:p>
                <w:p w:rsidR="00C37952" w:rsidRDefault="00C37952">
                  <w:pPr>
                    <w:jc w:val="right"/>
                    <w:rPr>
                      <w:rFonts w:ascii="Lucida Sans" w:hAnsi="Lucida Sans"/>
                      <w:sz w:val="18"/>
                    </w:rPr>
                  </w:pPr>
                  <w:proofErr w:type="spellStart"/>
                  <w:r>
                    <w:rPr>
                      <w:rFonts w:ascii="Lucida Sans" w:hAnsi="Lucida Sans"/>
                      <w:sz w:val="18"/>
                    </w:rPr>
                    <w:t>Takoma</w:t>
                  </w:r>
                  <w:proofErr w:type="spellEnd"/>
                  <w:r>
                    <w:rPr>
                      <w:rFonts w:ascii="Lucida Sans" w:hAnsi="Lucida Sans"/>
                      <w:sz w:val="18"/>
                    </w:rPr>
                    <w:t xml:space="preserve"> Park, MD 20912 - (301) 270-4616</w:t>
                  </w:r>
                </w:p>
                <w:p w:rsidR="00C37952" w:rsidRDefault="00C37952">
                  <w:pPr>
                    <w:jc w:val="right"/>
                    <w:rPr>
                      <w:rFonts w:ascii="Lucida Sans" w:hAnsi="Lucida Sans"/>
                      <w:sz w:val="18"/>
                    </w:rPr>
                  </w:pPr>
                  <w:r>
                    <w:rPr>
                      <w:rFonts w:ascii="Lucida Sans" w:hAnsi="Lucida Sans"/>
                      <w:sz w:val="18"/>
                    </w:rPr>
                    <w:t>(301) 270–4133 (fax) ·info@fairvote.org</w:t>
                  </w:r>
                </w:p>
                <w:p w:rsidR="00C37952" w:rsidRDefault="00C37952">
                  <w:pPr>
                    <w:jc w:val="right"/>
                    <w:rPr>
                      <w:rFonts w:ascii="Lucida Sans" w:hAnsi="Lucida Sans"/>
                      <w:b/>
                      <w:bCs/>
                      <w:sz w:val="18"/>
                    </w:rPr>
                  </w:pPr>
                  <w:r>
                    <w:rPr>
                      <w:rFonts w:ascii="Lucida Sans" w:hAnsi="Lucida Sans"/>
                      <w:b/>
                      <w:bCs/>
                      <w:sz w:val="18"/>
                    </w:rPr>
                    <w:t>www.fairvote.org</w:t>
                  </w:r>
                </w:p>
              </w:txbxContent>
            </v:textbox>
          </v:shape>
        </w:pict>
      </w:r>
      <w:r w:rsidR="00C37952">
        <w:rPr>
          <w:sz w:val="24"/>
        </w:rPr>
        <w:tab/>
      </w:r>
      <w:r w:rsidR="00C37952">
        <w:rPr>
          <w:sz w:val="24"/>
        </w:rPr>
        <w:tab/>
      </w:r>
      <w:r w:rsidR="00C37952">
        <w:rPr>
          <w:sz w:val="24"/>
        </w:rPr>
        <w:tab/>
      </w:r>
      <w:r w:rsidR="00C37952">
        <w:rPr>
          <w:sz w:val="24"/>
        </w:rPr>
        <w:tab/>
      </w:r>
      <w:r w:rsidR="00C37952">
        <w:rPr>
          <w:sz w:val="24"/>
        </w:rPr>
        <w:tab/>
      </w:r>
      <w:r w:rsidR="00C37952">
        <w:rPr>
          <w:sz w:val="24"/>
        </w:rPr>
        <w:tab/>
      </w:r>
    </w:p>
    <w:p w:rsidR="00C37952" w:rsidRDefault="00C37952">
      <w:pPr>
        <w:pStyle w:val="PlainText"/>
        <w:jc w:val="right"/>
        <w:rPr>
          <w:rFonts w:ascii="Times New Roman" w:eastAsia="MS Mincho" w:hAnsi="Times New Roman"/>
          <w:sz w:val="24"/>
        </w:rPr>
      </w:pPr>
    </w:p>
    <w:p w:rsidR="00C37952" w:rsidRDefault="00C37952">
      <w:pPr>
        <w:pStyle w:val="PlainText"/>
        <w:ind w:left="3600" w:firstLine="720"/>
        <w:rPr>
          <w:rFonts w:ascii="Times New Roman" w:hAnsi="Times New Roman" w:cs="Times New Roman"/>
          <w:sz w:val="24"/>
        </w:rPr>
      </w:pPr>
    </w:p>
    <w:p w:rsidR="00C37952" w:rsidRPr="006721B8" w:rsidRDefault="006721B8" w:rsidP="006721B8">
      <w:pPr>
        <w:pStyle w:val="PlainText"/>
        <w:jc w:val="center"/>
        <w:rPr>
          <w:rFonts w:ascii="Copperplate Gothic Bold" w:hAnsi="Copperplate Gothic Bold" w:cs="Times New Roman"/>
          <w:b/>
          <w:sz w:val="28"/>
          <w:szCs w:val="28"/>
        </w:rPr>
        <w:sectPr w:rsidR="00C37952" w:rsidRPr="006721B8">
          <w:footerReference w:type="default" r:id="rId8"/>
          <w:pgSz w:w="12240" w:h="15840" w:code="1"/>
          <w:pgMar w:top="1296" w:right="1350" w:bottom="1166" w:left="1260" w:header="720" w:footer="720" w:gutter="0"/>
          <w:cols w:space="720"/>
          <w:docGrid w:linePitch="360"/>
        </w:sectPr>
      </w:pPr>
      <w:r w:rsidRPr="006721B8">
        <w:rPr>
          <w:rFonts w:ascii="Copperplate Gothic Bold" w:hAnsi="Copperplate Gothic Bold" w:cs="Times New Roman"/>
          <w:b/>
          <w:sz w:val="32"/>
          <w:szCs w:val="32"/>
        </w:rPr>
        <w:t>Making</w:t>
      </w:r>
      <w:r w:rsidR="00C37952" w:rsidRPr="006721B8">
        <w:rPr>
          <w:rFonts w:ascii="Copperplate Gothic Bold" w:hAnsi="Copperplate Gothic Bold" w:cs="Times New Roman"/>
          <w:b/>
          <w:sz w:val="32"/>
          <w:szCs w:val="32"/>
        </w:rPr>
        <w:t xml:space="preserve"> Youth Voter Pre-Registration Programs</w:t>
      </w:r>
      <w:r w:rsidRPr="006721B8">
        <w:rPr>
          <w:rFonts w:ascii="Copperplate Gothic Bold" w:hAnsi="Copperplate Gothic Bold" w:cs="Times New Roman"/>
          <w:b/>
          <w:sz w:val="32"/>
          <w:szCs w:val="32"/>
        </w:rPr>
        <w:t xml:space="preserve"> Work</w:t>
      </w:r>
      <w:r>
        <w:rPr>
          <w:rFonts w:ascii="Copperplate Gothic Bold" w:hAnsi="Copperplate Gothic Bold" w:cs="Times New Roman"/>
          <w:b/>
          <w:sz w:val="28"/>
          <w:szCs w:val="28"/>
        </w:rPr>
        <w:br/>
      </w:r>
      <w:r w:rsidR="007302F5">
        <w:rPr>
          <w:rFonts w:ascii="Copperplate Gothic Bold" w:hAnsi="Copperplate Gothic Bold" w:cs="Times New Roman"/>
          <w:b/>
          <w:i/>
          <w:sz w:val="28"/>
          <w:szCs w:val="28"/>
        </w:rPr>
        <w:t>Lessons f</w:t>
      </w:r>
      <w:r w:rsidRPr="006721B8">
        <w:rPr>
          <w:rFonts w:ascii="Copperplate Gothic Bold" w:hAnsi="Copperplate Gothic Bold" w:cs="Times New Roman"/>
          <w:b/>
          <w:i/>
          <w:sz w:val="28"/>
          <w:szCs w:val="28"/>
        </w:rPr>
        <w:t>rom Hawaii and Florida</w:t>
      </w:r>
    </w:p>
    <w:p w:rsidR="006721B8" w:rsidRDefault="006721B8" w:rsidP="006721B8">
      <w:pPr>
        <w:pStyle w:val="Header"/>
        <w:rPr>
          <w:sz w:val="24"/>
        </w:rPr>
      </w:pPr>
    </w:p>
    <w:p w:rsidR="00C37952" w:rsidRDefault="006721B8" w:rsidP="006721B8">
      <w:pPr>
        <w:pStyle w:val="Header"/>
        <w:rPr>
          <w:sz w:val="24"/>
        </w:rPr>
      </w:pPr>
      <w:r>
        <w:rPr>
          <w:sz w:val="24"/>
        </w:rPr>
        <w:t>In 2009, George Mason University professor Michael P. McDonald secured funding from the Pew Charitable Trusts to study voter preregistration and implementation tactics in the two states with a pre-registration age of 16: Hawaii, where it became law in</w:t>
      </w:r>
      <w:r w:rsidR="008135BF">
        <w:rPr>
          <w:sz w:val="24"/>
        </w:rPr>
        <w:t xml:space="preserve"> </w:t>
      </w:r>
      <w:r>
        <w:rPr>
          <w:sz w:val="24"/>
        </w:rPr>
        <w:t xml:space="preserve">1993 and Florida, </w:t>
      </w:r>
      <w:r w:rsidR="00893DFC">
        <w:rPr>
          <w:sz w:val="24"/>
        </w:rPr>
        <w:t xml:space="preserve">where it passed in 2007. Dr. McDonald’s </w:t>
      </w:r>
      <w:r>
        <w:rPr>
          <w:sz w:val="24"/>
        </w:rPr>
        <w:t>key finding is that voter pre-registration seems to have a measurable impact on voter registration when certain actions are taken to reach out to young people.</w:t>
      </w:r>
    </w:p>
    <w:p w:rsidR="006721B8" w:rsidRDefault="006721B8" w:rsidP="006721B8">
      <w:pPr>
        <w:pStyle w:val="Header"/>
        <w:rPr>
          <w:sz w:val="24"/>
        </w:rPr>
      </w:pPr>
    </w:p>
    <w:p w:rsidR="006721B8" w:rsidRDefault="006721B8" w:rsidP="006721B8">
      <w:pPr>
        <w:pStyle w:val="Header"/>
        <w:rPr>
          <w:rFonts w:ascii="Copperplate Gothic Bold" w:hAnsi="Copperplate Gothic Bold"/>
          <w:sz w:val="24"/>
          <w:szCs w:val="24"/>
        </w:rPr>
      </w:pPr>
      <w:r>
        <w:rPr>
          <w:sz w:val="24"/>
        </w:rPr>
        <w:t>Here are successful elements of these states’ voter pre-registration programs.</w:t>
      </w:r>
    </w:p>
    <w:p w:rsidR="00C37952" w:rsidRDefault="00C37952">
      <w:pPr>
        <w:rPr>
          <w:rFonts w:ascii="Copperplate Gothic Bold" w:hAnsi="Copperplate Gothic Bold"/>
          <w:sz w:val="24"/>
          <w:szCs w:val="24"/>
        </w:rPr>
      </w:pPr>
    </w:p>
    <w:p w:rsidR="00C37952" w:rsidRDefault="00C37952">
      <w:pPr>
        <w:rPr>
          <w:rFonts w:ascii="Copperplate Gothic Bold" w:hAnsi="Copperplate Gothic Bold"/>
          <w:sz w:val="24"/>
          <w:szCs w:val="24"/>
        </w:rPr>
        <w:sectPr w:rsidR="00C37952">
          <w:type w:val="continuous"/>
          <w:pgSz w:w="12240" w:h="15840" w:code="1"/>
          <w:pgMar w:top="1296" w:right="1350" w:bottom="1166" w:left="1260" w:header="720" w:footer="720" w:gutter="0"/>
          <w:cols w:space="720" w:equalWidth="0">
            <w:col w:w="9630"/>
          </w:cols>
          <w:docGrid w:linePitch="360"/>
        </w:sectPr>
      </w:pPr>
    </w:p>
    <w:p w:rsidR="006721B8" w:rsidRDefault="006721B8" w:rsidP="006721B8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C37952">
        <w:rPr>
          <w:sz w:val="24"/>
          <w:szCs w:val="24"/>
        </w:rPr>
        <w:t>n Florida, Supervisor of Elections staff came to schools for one day and conducted registration drives through individual classroom visits or school-wide assemblies.</w:t>
      </w:r>
      <w:r>
        <w:rPr>
          <w:sz w:val="24"/>
          <w:szCs w:val="24"/>
        </w:rPr>
        <w:br/>
      </w:r>
    </w:p>
    <w:p w:rsidR="006721B8" w:rsidRDefault="00C37952" w:rsidP="006721B8">
      <w:pPr>
        <w:numPr>
          <w:ilvl w:val="0"/>
          <w:numId w:val="12"/>
        </w:numPr>
        <w:rPr>
          <w:sz w:val="24"/>
          <w:szCs w:val="24"/>
        </w:rPr>
      </w:pPr>
      <w:r w:rsidRPr="006721B8">
        <w:rPr>
          <w:sz w:val="24"/>
          <w:szCs w:val="24"/>
        </w:rPr>
        <w:t>Student groups (such as Student Government Associatio</w:t>
      </w:r>
      <w:r w:rsidR="006721B8">
        <w:rPr>
          <w:sz w:val="24"/>
          <w:szCs w:val="24"/>
        </w:rPr>
        <w:t xml:space="preserve">ns) and teachers </w:t>
      </w:r>
      <w:r w:rsidRPr="006721B8">
        <w:rPr>
          <w:sz w:val="24"/>
          <w:szCs w:val="24"/>
        </w:rPr>
        <w:t>have conducted their own drives on a</w:t>
      </w:r>
      <w:r w:rsidR="006721B8">
        <w:rPr>
          <w:sz w:val="24"/>
          <w:szCs w:val="24"/>
        </w:rPr>
        <w:t xml:space="preserve"> volunteer basis, after being trained b</w:t>
      </w:r>
      <w:r w:rsidRPr="006721B8">
        <w:rPr>
          <w:sz w:val="24"/>
          <w:szCs w:val="24"/>
        </w:rPr>
        <w:t>y election staff.</w:t>
      </w:r>
      <w:r w:rsidR="006721B8">
        <w:rPr>
          <w:sz w:val="24"/>
          <w:szCs w:val="24"/>
        </w:rPr>
        <w:br/>
      </w:r>
    </w:p>
    <w:p w:rsidR="006721B8" w:rsidRDefault="00C37952" w:rsidP="006721B8">
      <w:pPr>
        <w:numPr>
          <w:ilvl w:val="0"/>
          <w:numId w:val="12"/>
        </w:numPr>
        <w:rPr>
          <w:sz w:val="24"/>
          <w:szCs w:val="24"/>
        </w:rPr>
      </w:pPr>
      <w:r w:rsidRPr="006721B8">
        <w:rPr>
          <w:sz w:val="24"/>
          <w:szCs w:val="24"/>
        </w:rPr>
        <w:t>At registration drives, students can be given “I registered” stickers or other paraphernalia to show their pride and encourage others, including their parents, to register and vote.</w:t>
      </w:r>
      <w:r w:rsidR="006721B8">
        <w:rPr>
          <w:sz w:val="24"/>
          <w:szCs w:val="24"/>
        </w:rPr>
        <w:br/>
      </w:r>
    </w:p>
    <w:p w:rsidR="006721B8" w:rsidRDefault="00C37952" w:rsidP="006721B8">
      <w:pPr>
        <w:numPr>
          <w:ilvl w:val="0"/>
          <w:numId w:val="12"/>
        </w:numPr>
        <w:rPr>
          <w:sz w:val="24"/>
          <w:szCs w:val="24"/>
        </w:rPr>
      </w:pPr>
      <w:r w:rsidRPr="006721B8">
        <w:rPr>
          <w:sz w:val="24"/>
          <w:szCs w:val="24"/>
        </w:rPr>
        <w:t>Registration forms can be made available in school and public libraries and other public venues, without any active encouragement.</w:t>
      </w:r>
      <w:r w:rsidR="006721B8">
        <w:rPr>
          <w:sz w:val="24"/>
          <w:szCs w:val="24"/>
        </w:rPr>
        <w:br/>
      </w:r>
    </w:p>
    <w:p w:rsidR="006721B8" w:rsidRDefault="006721B8" w:rsidP="006721B8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Officials </w:t>
      </w:r>
      <w:r w:rsidR="00C37952" w:rsidRPr="006721B8">
        <w:rPr>
          <w:sz w:val="24"/>
          <w:szCs w:val="24"/>
        </w:rPr>
        <w:t xml:space="preserve">can mail forms to students eligible for pre-registration by </w:t>
      </w:r>
      <w:r>
        <w:rPr>
          <w:sz w:val="24"/>
          <w:szCs w:val="24"/>
        </w:rPr>
        <w:t xml:space="preserve">using the school rosters and enclosing </w:t>
      </w:r>
      <w:r w:rsidR="00C37952" w:rsidRPr="006721B8">
        <w:rPr>
          <w:sz w:val="24"/>
          <w:szCs w:val="24"/>
        </w:rPr>
        <w:t>registrati</w:t>
      </w:r>
      <w:r>
        <w:rPr>
          <w:sz w:val="24"/>
          <w:szCs w:val="24"/>
        </w:rPr>
        <w:t xml:space="preserve">on forms with handouts that most </w:t>
      </w:r>
      <w:r w:rsidR="00C37952" w:rsidRPr="006721B8">
        <w:rPr>
          <w:sz w:val="24"/>
          <w:szCs w:val="24"/>
        </w:rPr>
        <w:t>student</w:t>
      </w:r>
      <w:r>
        <w:rPr>
          <w:sz w:val="24"/>
          <w:szCs w:val="24"/>
        </w:rPr>
        <w:t>s</w:t>
      </w:r>
      <w:r w:rsidR="00C37952" w:rsidRPr="006721B8">
        <w:rPr>
          <w:sz w:val="24"/>
          <w:szCs w:val="24"/>
        </w:rPr>
        <w:t xml:space="preserve"> receive</w:t>
      </w:r>
      <w:r>
        <w:rPr>
          <w:sz w:val="24"/>
          <w:szCs w:val="24"/>
        </w:rPr>
        <w:t xml:space="preserve"> (like diplomas)</w:t>
      </w:r>
      <w:r>
        <w:rPr>
          <w:sz w:val="24"/>
          <w:szCs w:val="24"/>
        </w:rPr>
        <w:br/>
      </w:r>
    </w:p>
    <w:p w:rsidR="00C37952" w:rsidRPr="006721B8" w:rsidRDefault="0020457E" w:rsidP="006721B8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 Hawaii, election officials have mailed</w:t>
      </w:r>
      <w:r w:rsidR="00C37952" w:rsidRPr="006721B8">
        <w:rPr>
          <w:sz w:val="24"/>
          <w:szCs w:val="24"/>
        </w:rPr>
        <w:t xml:space="preserve"> registration forms to every</w:t>
      </w:r>
      <w:r>
        <w:rPr>
          <w:sz w:val="24"/>
          <w:szCs w:val="24"/>
        </w:rPr>
        <w:t xml:space="preserve"> eligible student, coordinated </w:t>
      </w:r>
      <w:r w:rsidR="00C37952" w:rsidRPr="006721B8">
        <w:rPr>
          <w:sz w:val="24"/>
          <w:szCs w:val="24"/>
        </w:rPr>
        <w:t>with volunteers to organize registration drives (schools are not requi</w:t>
      </w:r>
      <w:r>
        <w:rPr>
          <w:sz w:val="24"/>
          <w:szCs w:val="24"/>
        </w:rPr>
        <w:t>red to participate), and worked</w:t>
      </w:r>
      <w:r w:rsidR="00C37952" w:rsidRPr="006721B8">
        <w:rPr>
          <w:sz w:val="24"/>
          <w:szCs w:val="24"/>
        </w:rPr>
        <w:t xml:space="preserve"> with larger efforts similar to Rock the Vote to conduct assemblies. </w:t>
      </w:r>
    </w:p>
    <w:p w:rsidR="00C37952" w:rsidRDefault="00C37952">
      <w:pPr>
        <w:rPr>
          <w:sz w:val="24"/>
          <w:szCs w:val="24"/>
        </w:rPr>
      </w:pPr>
    </w:p>
    <w:p w:rsidR="00C37952" w:rsidRPr="006721B8" w:rsidRDefault="006721B8">
      <w:pPr>
        <w:rPr>
          <w:b/>
          <w:sz w:val="24"/>
          <w:szCs w:val="24"/>
        </w:rPr>
      </w:pPr>
      <w:r w:rsidRPr="006721B8">
        <w:rPr>
          <w:b/>
          <w:sz w:val="24"/>
          <w:szCs w:val="24"/>
        </w:rPr>
        <w:t>Key Findings</w:t>
      </w:r>
    </w:p>
    <w:p w:rsidR="00C37952" w:rsidRDefault="00C37952">
      <w:pPr>
        <w:rPr>
          <w:sz w:val="24"/>
          <w:szCs w:val="24"/>
        </w:rPr>
      </w:pPr>
    </w:p>
    <w:p w:rsidR="0020457E" w:rsidRDefault="00C37952" w:rsidP="0020457E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 Florida, numbers of pre-registrants increased to 78,000 in 2008 as schools do more and more to encourage and inform their students.</w:t>
      </w:r>
      <w:r w:rsidR="0020457E">
        <w:rPr>
          <w:sz w:val="24"/>
          <w:szCs w:val="24"/>
        </w:rPr>
        <w:br/>
      </w:r>
    </w:p>
    <w:p w:rsidR="0020457E" w:rsidRDefault="0020457E" w:rsidP="0020457E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In Hawaii, full use of its procedures resulted in </w:t>
      </w:r>
      <w:r w:rsidR="00C37952" w:rsidRPr="0020457E">
        <w:rPr>
          <w:sz w:val="24"/>
          <w:szCs w:val="24"/>
        </w:rPr>
        <w:t>a return rate of about 30 percent for in-school efforts compared to four percent from mailings alone.</w:t>
      </w:r>
      <w:r>
        <w:rPr>
          <w:sz w:val="24"/>
          <w:szCs w:val="24"/>
        </w:rPr>
        <w:br/>
      </w:r>
    </w:p>
    <w:p w:rsidR="0020457E" w:rsidRDefault="00C37952" w:rsidP="0020457E">
      <w:pPr>
        <w:numPr>
          <w:ilvl w:val="0"/>
          <w:numId w:val="12"/>
        </w:numPr>
        <w:rPr>
          <w:sz w:val="24"/>
          <w:szCs w:val="24"/>
        </w:rPr>
      </w:pPr>
      <w:r w:rsidRPr="0020457E">
        <w:rPr>
          <w:sz w:val="24"/>
          <w:szCs w:val="24"/>
        </w:rPr>
        <w:t>Face-to-face engagement of students that requires as few active efforts as possible seems to maximize results.</w:t>
      </w:r>
      <w:r w:rsidR="0020457E">
        <w:rPr>
          <w:sz w:val="24"/>
          <w:szCs w:val="24"/>
        </w:rPr>
        <w:br/>
      </w:r>
    </w:p>
    <w:p w:rsidR="00C37952" w:rsidRPr="0020457E" w:rsidRDefault="00C37952" w:rsidP="0020457E">
      <w:pPr>
        <w:numPr>
          <w:ilvl w:val="0"/>
          <w:numId w:val="12"/>
        </w:numPr>
        <w:rPr>
          <w:sz w:val="24"/>
          <w:szCs w:val="24"/>
        </w:rPr>
      </w:pPr>
      <w:r w:rsidRPr="0020457E">
        <w:rPr>
          <w:sz w:val="24"/>
        </w:rPr>
        <w:t>Tracking return rates is useful in analyzing best practices, costs, and improvements</w:t>
      </w:r>
      <w:r>
        <w:t>.</w:t>
      </w:r>
    </w:p>
    <w:sectPr w:rsidR="00C37952" w:rsidRPr="0020457E" w:rsidSect="00D129CE">
      <w:type w:val="continuous"/>
      <w:pgSz w:w="12240" w:h="15840" w:code="1"/>
      <w:pgMar w:top="1296" w:right="1350" w:bottom="1166" w:left="1260" w:header="720" w:footer="720" w:gutter="0"/>
      <w:cols w:space="720" w:equalWidth="0">
        <w:col w:w="963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0D" w:rsidRDefault="00ED7D0D">
      <w:r>
        <w:separator/>
      </w:r>
    </w:p>
  </w:endnote>
  <w:endnote w:type="continuationSeparator" w:id="0">
    <w:p w:rsidR="00ED7D0D" w:rsidRDefault="00ED7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pperplate Gothic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952" w:rsidRDefault="00C37952">
    <w:pPr>
      <w:pStyle w:val="Footer"/>
      <w:pBdr>
        <w:top w:val="single" w:sz="6" w:space="1" w:color="auto"/>
      </w:pBdr>
      <w:jc w:val="center"/>
      <w:rPr>
        <w:rFonts w:ascii="Lucida Sans" w:hAnsi="Lucida Sans"/>
        <w:bCs/>
        <w:sz w:val="18"/>
      </w:rPr>
    </w:pPr>
    <w:proofErr w:type="spellStart"/>
    <w:r>
      <w:rPr>
        <w:rFonts w:ascii="Lucida Sans" w:hAnsi="Lucida Sans"/>
        <w:bCs/>
        <w:sz w:val="18"/>
      </w:rPr>
      <w:t>FairVote</w:t>
    </w:r>
    <w:proofErr w:type="spellEnd"/>
    <w:r>
      <w:rPr>
        <w:rFonts w:ascii="Lucida Sans" w:hAnsi="Lucida Sans"/>
        <w:bCs/>
        <w:sz w:val="18"/>
      </w:rPr>
      <w:t xml:space="preserve"> Board of Directors: </w:t>
    </w:r>
    <w:proofErr w:type="spellStart"/>
    <w:r>
      <w:rPr>
        <w:rFonts w:ascii="Lucida Sans" w:hAnsi="Lucida Sans"/>
        <w:bCs/>
        <w:sz w:val="18"/>
      </w:rPr>
      <w:t>Krist</w:t>
    </w:r>
    <w:proofErr w:type="spellEnd"/>
    <w:r>
      <w:rPr>
        <w:rFonts w:ascii="Lucida Sans" w:hAnsi="Lucida Sans"/>
        <w:bCs/>
        <w:sz w:val="18"/>
      </w:rPr>
      <w:t xml:space="preserve"> </w:t>
    </w:r>
    <w:proofErr w:type="spellStart"/>
    <w:r>
      <w:rPr>
        <w:rFonts w:ascii="Lucida Sans" w:hAnsi="Lucida Sans"/>
        <w:bCs/>
        <w:sz w:val="18"/>
      </w:rPr>
      <w:t>Novoselic</w:t>
    </w:r>
    <w:proofErr w:type="spellEnd"/>
    <w:r>
      <w:rPr>
        <w:rFonts w:ascii="Lucida Sans" w:hAnsi="Lucida Sans"/>
        <w:bCs/>
        <w:sz w:val="18"/>
      </w:rPr>
      <w:t xml:space="preserve"> (Chair</w:t>
    </w:r>
    <w:proofErr w:type="gramStart"/>
    <w:r>
      <w:rPr>
        <w:rFonts w:ascii="Lucida Sans" w:hAnsi="Lucida Sans"/>
        <w:bCs/>
        <w:sz w:val="18"/>
      </w:rPr>
      <w:t xml:space="preserve">)  </w:t>
    </w:r>
    <w:r>
      <w:rPr>
        <w:rFonts w:ascii="Lucida Console" w:hAnsi="Lucida Console"/>
        <w:bCs/>
        <w:sz w:val="18"/>
      </w:rPr>
      <w:t>○</w:t>
    </w:r>
    <w:proofErr w:type="gramEnd"/>
    <w:r>
      <w:rPr>
        <w:rFonts w:ascii="Lucida Sans" w:hAnsi="Lucida Sans"/>
        <w:bCs/>
        <w:sz w:val="18"/>
      </w:rPr>
      <w:t xml:space="preserve">  Edward </w:t>
    </w:r>
    <w:proofErr w:type="spellStart"/>
    <w:r>
      <w:rPr>
        <w:rFonts w:ascii="Lucida Sans" w:hAnsi="Lucida Sans"/>
        <w:bCs/>
        <w:sz w:val="18"/>
      </w:rPr>
      <w:t>Hailes</w:t>
    </w:r>
    <w:proofErr w:type="spellEnd"/>
    <w:r>
      <w:rPr>
        <w:rFonts w:ascii="Lucida Sans" w:hAnsi="Lucida Sans"/>
        <w:bCs/>
        <w:sz w:val="18"/>
      </w:rPr>
      <w:t xml:space="preserve"> (Vice-Chair) </w:t>
    </w:r>
  </w:p>
  <w:p w:rsidR="00C37952" w:rsidRDefault="00C37952">
    <w:pPr>
      <w:pStyle w:val="Footer"/>
      <w:pBdr>
        <w:top w:val="single" w:sz="6" w:space="1" w:color="auto"/>
      </w:pBdr>
      <w:jc w:val="center"/>
      <w:rPr>
        <w:rFonts w:ascii="Lucida Sans" w:hAnsi="Lucida Sans"/>
        <w:bCs/>
        <w:sz w:val="18"/>
      </w:rPr>
    </w:pPr>
    <w:r>
      <w:rPr>
        <w:rFonts w:ascii="Lucida Sans" w:hAnsi="Lucida Sans"/>
        <w:bCs/>
        <w:sz w:val="18"/>
      </w:rPr>
      <w:t xml:space="preserve">John B. </w:t>
    </w:r>
    <w:proofErr w:type="gramStart"/>
    <w:r>
      <w:rPr>
        <w:rFonts w:ascii="Lucida Sans" w:hAnsi="Lucida Sans"/>
        <w:bCs/>
        <w:sz w:val="18"/>
      </w:rPr>
      <w:t xml:space="preserve">Anderson  </w:t>
    </w:r>
    <w:r>
      <w:rPr>
        <w:rFonts w:ascii="Lucida Console" w:hAnsi="Lucida Console"/>
        <w:bCs/>
        <w:sz w:val="18"/>
      </w:rPr>
      <w:t>○</w:t>
    </w:r>
    <w:proofErr w:type="gramEnd"/>
    <w:r>
      <w:rPr>
        <w:rFonts w:ascii="Lucida Sans" w:hAnsi="Lucida Sans"/>
        <w:bCs/>
        <w:sz w:val="18"/>
      </w:rPr>
      <w:t xml:space="preserve"> Cynthia Terrell </w:t>
    </w:r>
    <w:r>
      <w:rPr>
        <w:rFonts w:ascii="Lucida Console" w:hAnsi="Lucida Console"/>
        <w:bCs/>
        <w:sz w:val="18"/>
      </w:rPr>
      <w:t xml:space="preserve">○ </w:t>
    </w:r>
    <w:proofErr w:type="spellStart"/>
    <w:r>
      <w:rPr>
        <w:rFonts w:ascii="Lucida Sans" w:hAnsi="Lucida Sans"/>
        <w:bCs/>
        <w:sz w:val="18"/>
      </w:rPr>
      <w:t>Hendrik</w:t>
    </w:r>
    <w:proofErr w:type="spellEnd"/>
    <w:r>
      <w:rPr>
        <w:rFonts w:ascii="Lucida Sans" w:hAnsi="Lucida Sans"/>
        <w:bCs/>
        <w:sz w:val="18"/>
      </w:rPr>
      <w:t xml:space="preserve"> Hertzberg  </w:t>
    </w:r>
    <w:r>
      <w:rPr>
        <w:rFonts w:ascii="Lucida Console" w:hAnsi="Lucida Console"/>
        <w:bCs/>
        <w:sz w:val="18"/>
      </w:rPr>
      <w:t xml:space="preserve">○ </w:t>
    </w:r>
    <w:r>
      <w:rPr>
        <w:rFonts w:ascii="Lucida Sans" w:hAnsi="Lucida Sans"/>
        <w:bCs/>
        <w:sz w:val="18"/>
      </w:rPr>
      <w:t xml:space="preserve">Malia </w:t>
    </w:r>
    <w:proofErr w:type="spellStart"/>
    <w:r>
      <w:rPr>
        <w:rFonts w:ascii="Lucida Sans" w:hAnsi="Lucida Sans"/>
        <w:bCs/>
        <w:sz w:val="18"/>
      </w:rPr>
      <w:t>Lazu</w:t>
    </w:r>
    <w:proofErr w:type="spellEnd"/>
    <w:r>
      <w:rPr>
        <w:rFonts w:ascii="Lucida Sans" w:hAnsi="Lucida Sans"/>
        <w:bCs/>
        <w:sz w:val="18"/>
      </w:rPr>
      <w:t xml:space="preserve"> </w:t>
    </w:r>
  </w:p>
  <w:p w:rsidR="00C37952" w:rsidRDefault="00C37952">
    <w:pPr>
      <w:pStyle w:val="Footer"/>
      <w:pBdr>
        <w:top w:val="single" w:sz="6" w:space="1" w:color="auto"/>
      </w:pBdr>
      <w:jc w:val="center"/>
      <w:rPr>
        <w:sz w:val="24"/>
      </w:rPr>
    </w:pPr>
    <w:r>
      <w:rPr>
        <w:rFonts w:ascii="Lucida Sans" w:hAnsi="Lucida Sans"/>
        <w:bCs/>
        <w:sz w:val="18"/>
      </w:rPr>
      <w:t xml:space="preserve">Pete </w:t>
    </w:r>
    <w:proofErr w:type="gramStart"/>
    <w:r>
      <w:rPr>
        <w:rFonts w:ascii="Lucida Sans" w:hAnsi="Lucida Sans"/>
        <w:bCs/>
        <w:sz w:val="18"/>
      </w:rPr>
      <w:t xml:space="preserve">Martineau  </w:t>
    </w:r>
    <w:r>
      <w:rPr>
        <w:rFonts w:ascii="Lucida Console" w:hAnsi="Lucida Console"/>
        <w:bCs/>
        <w:sz w:val="18"/>
      </w:rPr>
      <w:t>○</w:t>
    </w:r>
    <w:proofErr w:type="gramEnd"/>
    <w:r>
      <w:rPr>
        <w:rFonts w:ascii="Lucida Console" w:hAnsi="Lucida Console"/>
        <w:bCs/>
        <w:sz w:val="18"/>
      </w:rPr>
      <w:t xml:space="preserve"> </w:t>
    </w:r>
    <w:r>
      <w:rPr>
        <w:rFonts w:ascii="Lucida Sans" w:hAnsi="Lucida Sans"/>
        <w:bCs/>
        <w:sz w:val="18"/>
      </w:rPr>
      <w:t xml:space="preserve">William </w:t>
    </w:r>
    <w:proofErr w:type="spellStart"/>
    <w:r>
      <w:rPr>
        <w:rFonts w:ascii="Lucida Sans" w:hAnsi="Lucida Sans"/>
        <w:bCs/>
        <w:sz w:val="18"/>
      </w:rPr>
      <w:t>Redpath</w:t>
    </w:r>
    <w:proofErr w:type="spellEnd"/>
    <w:r>
      <w:rPr>
        <w:rFonts w:ascii="Lucida Sans" w:hAnsi="Lucida Sans"/>
        <w:bCs/>
        <w:sz w:val="18"/>
      </w:rPr>
      <w:t xml:space="preserve">  </w:t>
    </w:r>
    <w:r>
      <w:rPr>
        <w:rFonts w:ascii="Lucida Console" w:hAnsi="Lucida Console"/>
        <w:bCs/>
        <w:sz w:val="18"/>
      </w:rPr>
      <w:t>○</w:t>
    </w:r>
    <w:r>
      <w:rPr>
        <w:rFonts w:ascii="Lucida Sans" w:hAnsi="Lucida Sans"/>
        <w:bCs/>
        <w:sz w:val="18"/>
      </w:rPr>
      <w:t xml:space="preserve">  Ken Ritchie </w:t>
    </w:r>
    <w:r>
      <w:rPr>
        <w:rFonts w:ascii="Lucida Console" w:hAnsi="Lucida Console"/>
        <w:bCs/>
        <w:sz w:val="18"/>
      </w:rPr>
      <w:t xml:space="preserve">○ </w:t>
    </w:r>
    <w:r>
      <w:rPr>
        <w:rFonts w:ascii="Lucida Sans" w:hAnsi="Lucida Sans"/>
        <w:bCs/>
        <w:sz w:val="18"/>
      </w:rPr>
      <w:t xml:space="preserve">David </w:t>
    </w:r>
    <w:proofErr w:type="spellStart"/>
    <w:r>
      <w:rPr>
        <w:rFonts w:ascii="Lucida Sans" w:hAnsi="Lucida Sans"/>
        <w:bCs/>
        <w:sz w:val="18"/>
      </w:rPr>
      <w:t>Wilner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0D" w:rsidRDefault="00ED7D0D">
      <w:r>
        <w:separator/>
      </w:r>
    </w:p>
  </w:footnote>
  <w:footnote w:type="continuationSeparator" w:id="0">
    <w:p w:rsidR="00ED7D0D" w:rsidRDefault="00ED7D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52E"/>
    <w:multiLevelType w:val="hybridMultilevel"/>
    <w:tmpl w:val="0426653C"/>
    <w:lvl w:ilvl="0" w:tplc="7F4ACA0E">
      <w:start w:val="2"/>
      <w:numFmt w:val="lowerLetter"/>
      <w:lvlText w:val="%1."/>
      <w:lvlJc w:val="left"/>
      <w:pPr>
        <w:tabs>
          <w:tab w:val="num" w:pos="1073"/>
        </w:tabs>
        <w:ind w:left="1073" w:hanging="5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  <w:rPr>
        <w:rFonts w:ascii="Times New Roman" w:hAnsi="Times New Roman" w:cs="Times New Roman"/>
      </w:rPr>
    </w:lvl>
  </w:abstractNum>
  <w:abstractNum w:abstractNumId="1">
    <w:nsid w:val="07446834"/>
    <w:multiLevelType w:val="hybridMultilevel"/>
    <w:tmpl w:val="AD9246C2"/>
    <w:lvl w:ilvl="0" w:tplc="9B9C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79836EB"/>
    <w:multiLevelType w:val="hybridMultilevel"/>
    <w:tmpl w:val="1870E7E2"/>
    <w:lvl w:ilvl="0" w:tplc="D63679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">
    <w:nsid w:val="2D6E1607"/>
    <w:multiLevelType w:val="hybridMultilevel"/>
    <w:tmpl w:val="1DEC634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7614226"/>
    <w:multiLevelType w:val="hybridMultilevel"/>
    <w:tmpl w:val="DB5045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5">
    <w:nsid w:val="42F441A8"/>
    <w:multiLevelType w:val="hybridMultilevel"/>
    <w:tmpl w:val="4EF6CD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4FD435CD"/>
    <w:multiLevelType w:val="hybridMultilevel"/>
    <w:tmpl w:val="906AD86A"/>
    <w:lvl w:ilvl="0" w:tplc="040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7740A"/>
    <w:multiLevelType w:val="hybridMultilevel"/>
    <w:tmpl w:val="F3D2598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70E2708F"/>
    <w:multiLevelType w:val="hybridMultilevel"/>
    <w:tmpl w:val="435444A0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753B1DFC"/>
    <w:multiLevelType w:val="hybridMultilevel"/>
    <w:tmpl w:val="61CC5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7042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791327C7"/>
    <w:multiLevelType w:val="hybridMultilevel"/>
    <w:tmpl w:val="369456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</w:abstractNum>
  <w:abstractNum w:abstractNumId="11">
    <w:nsid w:val="7DED4949"/>
    <w:multiLevelType w:val="hybridMultilevel"/>
    <w:tmpl w:val="8B1A046E"/>
    <w:lvl w:ilvl="0" w:tplc="5010D25E">
      <w:start w:val="1"/>
      <w:numFmt w:val="lowerLetter"/>
      <w:lvlText w:val="%1."/>
      <w:lvlJc w:val="left"/>
      <w:pPr>
        <w:tabs>
          <w:tab w:val="num" w:pos="1095"/>
        </w:tabs>
        <w:ind w:left="1095" w:hanging="555"/>
      </w:pPr>
      <w:rPr>
        <w:rFonts w:ascii="Times New Roman" w:hAnsi="Times New Roman" w:cs="Times New Roman" w:hint="default"/>
      </w:rPr>
    </w:lvl>
    <w:lvl w:ilvl="1" w:tplc="D63679B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1B8"/>
    <w:rsid w:val="0005604F"/>
    <w:rsid w:val="0020457E"/>
    <w:rsid w:val="00656BB6"/>
    <w:rsid w:val="006721B8"/>
    <w:rsid w:val="007302F5"/>
    <w:rsid w:val="008135BF"/>
    <w:rsid w:val="00893DFC"/>
    <w:rsid w:val="00BC115B"/>
    <w:rsid w:val="00BD45A6"/>
    <w:rsid w:val="00C37952"/>
    <w:rsid w:val="00D129CE"/>
    <w:rsid w:val="00ED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CE"/>
  </w:style>
  <w:style w:type="paragraph" w:styleId="Heading1">
    <w:name w:val="heading 1"/>
    <w:basedOn w:val="Normal"/>
    <w:next w:val="Normal"/>
    <w:qFormat/>
    <w:rsid w:val="00D129CE"/>
    <w:pPr>
      <w:keepNext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129CE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129CE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D129CE"/>
    <w:pPr>
      <w:keepNext/>
      <w:outlineLvl w:val="3"/>
    </w:pPr>
    <w:rPr>
      <w:rFonts w:ascii="Arial" w:hAnsi="Arial" w:cs="Arial"/>
      <w:b/>
      <w:bCs/>
      <w:color w:val="000000"/>
      <w:szCs w:val="24"/>
    </w:rPr>
  </w:style>
  <w:style w:type="paragraph" w:styleId="Heading5">
    <w:name w:val="heading 5"/>
    <w:basedOn w:val="Normal"/>
    <w:next w:val="Normal"/>
    <w:qFormat/>
    <w:rsid w:val="00D129CE"/>
    <w:pPr>
      <w:keepNext/>
      <w:ind w:left="720" w:firstLine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129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129C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D129CE"/>
    <w:rPr>
      <w:sz w:val="22"/>
    </w:rPr>
  </w:style>
  <w:style w:type="character" w:styleId="Hyperlink">
    <w:name w:val="Hyperlink"/>
    <w:basedOn w:val="DefaultParagraphFont"/>
    <w:semiHidden/>
    <w:rsid w:val="00D129CE"/>
    <w:rPr>
      <w:rFonts w:ascii="Times New Roman" w:hAnsi="Times New Roman" w:cs="Times New Roman"/>
      <w:color w:val="0000FF"/>
      <w:u w:val="single"/>
    </w:rPr>
  </w:style>
  <w:style w:type="paragraph" w:styleId="BodyTextIndent">
    <w:name w:val="Body Text Indent"/>
    <w:basedOn w:val="Normal"/>
    <w:semiHidden/>
    <w:rsid w:val="00D129CE"/>
    <w:pPr>
      <w:spacing w:after="120" w:line="480" w:lineRule="auto"/>
    </w:pPr>
    <w:rPr>
      <w:rFonts w:ascii="CG Times (W1)" w:hAnsi="CG Times (W1)"/>
    </w:rPr>
  </w:style>
  <w:style w:type="paragraph" w:styleId="Caption">
    <w:name w:val="caption"/>
    <w:basedOn w:val="Normal"/>
    <w:next w:val="Normal"/>
    <w:qFormat/>
    <w:rsid w:val="00D129CE"/>
    <w:pPr>
      <w:framePr w:w="2587" w:h="13249" w:hSpace="180" w:wrap="auto" w:vAnchor="text" w:hAnchor="page" w:x="145" w:y="721"/>
      <w:shd w:val="solid" w:color="FFFFFF" w:fill="FFFFFF"/>
    </w:pPr>
    <w:rPr>
      <w:b/>
      <w:sz w:val="16"/>
    </w:rPr>
  </w:style>
  <w:style w:type="paragraph" w:styleId="BalloonText">
    <w:name w:val="Balloon Text"/>
    <w:basedOn w:val="Normal"/>
    <w:rsid w:val="00D129CE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semiHidden/>
    <w:rsid w:val="00D129CE"/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semiHidden/>
    <w:rsid w:val="00D129CE"/>
    <w:rPr>
      <w:rFonts w:ascii="Courier New" w:hAnsi="Courier New" w:cs="Courier New"/>
    </w:rPr>
  </w:style>
  <w:style w:type="paragraph" w:styleId="Title">
    <w:name w:val="Title"/>
    <w:basedOn w:val="Normal"/>
    <w:qFormat/>
    <w:rsid w:val="00D129CE"/>
    <w:pPr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styleId="BodyText3">
    <w:name w:val="Body Text 3"/>
    <w:basedOn w:val="Normal"/>
    <w:semiHidden/>
    <w:rsid w:val="00D129CE"/>
    <w:rPr>
      <w:rFonts w:ascii="Times New" w:hAnsi="Times New"/>
      <w:sz w:val="22"/>
    </w:rPr>
  </w:style>
  <w:style w:type="paragraph" w:customStyle="1" w:styleId="Table1DataRow">
    <w:name w:val="Table1 Data Row"/>
    <w:rsid w:val="00D129CE"/>
    <w:pPr>
      <w:spacing w:line="250" w:lineRule="exact"/>
    </w:pPr>
    <w:rPr>
      <w:rFonts w:ascii="Arial Narrow" w:hAnsi="Arial Narrow"/>
    </w:rPr>
  </w:style>
  <w:style w:type="paragraph" w:styleId="ListContinue2">
    <w:name w:val="List Continue 2"/>
    <w:basedOn w:val="Normal"/>
    <w:semiHidden/>
    <w:rsid w:val="00D129CE"/>
    <w:pPr>
      <w:spacing w:after="120"/>
      <w:ind w:left="720"/>
    </w:pPr>
    <w:rPr>
      <w:sz w:val="24"/>
    </w:rPr>
  </w:style>
  <w:style w:type="paragraph" w:styleId="NormalWeb">
    <w:name w:val="Normal (Web)"/>
    <w:basedOn w:val="Normal"/>
    <w:semiHidden/>
    <w:rsid w:val="00D129CE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styleId="Strong">
    <w:name w:val="Strong"/>
    <w:basedOn w:val="DefaultParagraphFont"/>
    <w:qFormat/>
    <w:rsid w:val="00D129CE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1912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Board of Directors</vt:lpstr>
    </vt:vector>
  </TitlesOfParts>
  <Company> 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Board of Directors</dc:title>
  <dc:subject/>
  <dc:creator>Fred McBride</dc:creator>
  <cp:keywords/>
  <dc:description/>
  <cp:lastModifiedBy>TSanchez</cp:lastModifiedBy>
  <cp:revision>2</cp:revision>
  <cp:lastPrinted>2010-03-09T18:27:00Z</cp:lastPrinted>
  <dcterms:created xsi:type="dcterms:W3CDTF">2010-07-01T20:39:00Z</dcterms:created>
  <dcterms:modified xsi:type="dcterms:W3CDTF">2010-07-01T20:39:00Z</dcterms:modified>
</cp:coreProperties>
</file>