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A48" w:rsidRDefault="00275122">
      <w:pPr>
        <w:autoSpaceDE w:val="0"/>
        <w:autoSpaceDN w:val="0"/>
        <w:adjustRightInd w:val="0"/>
        <w:rPr>
          <w:rFonts w:ascii="Baskerville Old Face" w:hAnsi="Baskerville Old Face"/>
        </w:rPr>
      </w:pPr>
      <w:r>
        <w:rPr>
          <w:rFonts w:ascii="Baskerville Old Face" w:hAnsi="Baskerville Old Face"/>
          <w:noProof/>
          <w:sz w:val="20"/>
        </w:rPr>
        <w:drawing>
          <wp:anchor distT="0" distB="0" distL="114300" distR="114300" simplePos="0" relativeHeight="251656704" behindDoc="0" locked="0" layoutInCell="1" allowOverlap="1">
            <wp:simplePos x="0" y="0"/>
            <wp:positionH relativeFrom="column">
              <wp:posOffset>-650875</wp:posOffset>
            </wp:positionH>
            <wp:positionV relativeFrom="paragraph">
              <wp:posOffset>-800100</wp:posOffset>
            </wp:positionV>
            <wp:extent cx="776605" cy="941070"/>
            <wp:effectExtent l="19050" t="0" r="4445" b="0"/>
            <wp:wrapSquare wrapText="bothSides"/>
            <wp:docPr id="6" name="Picture 6" descr="logo_300dpi_1inch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300dpi_1inch_black"/>
                    <pic:cNvPicPr>
                      <a:picLocks noChangeAspect="1" noChangeArrowheads="1"/>
                    </pic:cNvPicPr>
                  </pic:nvPicPr>
                  <pic:blipFill>
                    <a:blip r:embed="rId7" cstate="print"/>
                    <a:srcRect/>
                    <a:stretch>
                      <a:fillRect/>
                    </a:stretch>
                  </pic:blipFill>
                  <pic:spPr bwMode="auto">
                    <a:xfrm>
                      <a:off x="0" y="0"/>
                      <a:ext cx="776605" cy="941070"/>
                    </a:xfrm>
                    <a:prstGeom prst="rect">
                      <a:avLst/>
                    </a:prstGeom>
                    <a:noFill/>
                    <a:ln w="9525">
                      <a:noFill/>
                      <a:miter lim="800000"/>
                      <a:headEnd/>
                      <a:tailEnd/>
                    </a:ln>
                  </pic:spPr>
                </pic:pic>
              </a:graphicData>
            </a:graphic>
          </wp:anchor>
        </w:drawing>
      </w:r>
      <w:r w:rsidR="00626A48">
        <w:rPr>
          <w:rFonts w:ascii="Baskerville Old Face" w:hAnsi="Baskerville Old Face"/>
          <w:noProof/>
          <w:sz w:val="20"/>
        </w:rPr>
        <w:pict>
          <v:shapetype id="_x0000_t202" coordsize="21600,21600" o:spt="202" path="m,l,21600r21600,l21600,xe">
            <v:stroke joinstyle="miter"/>
            <v:path gradientshapeok="t" o:connecttype="rect"/>
          </v:shapetype>
          <v:shape id="_x0000_s1032" type="#_x0000_t202" style="position:absolute;margin-left:217.75pt;margin-top:-36pt;width:270pt;height:54pt;z-index:251658752;mso-position-horizontal-relative:text;mso-position-vertical-relative:text" stroked="f">
            <v:textbox>
              <w:txbxContent>
                <w:p w:rsidR="00626A48" w:rsidRDefault="00626A48">
                  <w:pPr>
                    <w:jc w:val="right"/>
                    <w:rPr>
                      <w:rFonts w:ascii="Lucida Sans" w:hAnsi="Lucida Sans"/>
                      <w:sz w:val="18"/>
                    </w:rPr>
                  </w:pPr>
                  <w:r>
                    <w:rPr>
                      <w:rFonts w:ascii="Lucida Sans" w:hAnsi="Lucida Sans"/>
                      <w:sz w:val="18"/>
                    </w:rPr>
                    <w:t>6930 Carroll Ave., Suite 610</w:t>
                  </w:r>
                </w:p>
                <w:p w:rsidR="00626A48" w:rsidRDefault="00626A48">
                  <w:pPr>
                    <w:jc w:val="right"/>
                    <w:rPr>
                      <w:rFonts w:ascii="Lucida Sans" w:hAnsi="Lucida Sans"/>
                      <w:sz w:val="18"/>
                    </w:rPr>
                  </w:pPr>
                  <w:r>
                    <w:rPr>
                      <w:rFonts w:ascii="Lucida Sans" w:hAnsi="Lucida Sans"/>
                      <w:sz w:val="18"/>
                    </w:rPr>
                    <w:t>Takoma Park, MD 20912 - (301) 270-4616</w:t>
                  </w:r>
                </w:p>
                <w:p w:rsidR="00626A48" w:rsidRDefault="00626A48">
                  <w:pPr>
                    <w:jc w:val="right"/>
                    <w:rPr>
                      <w:rFonts w:ascii="Lucida Sans" w:hAnsi="Lucida Sans"/>
                      <w:sz w:val="18"/>
                    </w:rPr>
                  </w:pPr>
                  <w:r>
                    <w:rPr>
                      <w:rFonts w:ascii="Lucida Sans" w:hAnsi="Lucida Sans"/>
                      <w:sz w:val="18"/>
                    </w:rPr>
                    <w:t>(301) 270–4133 (fax) ·info@fairvote.org</w:t>
                  </w:r>
                </w:p>
                <w:p w:rsidR="00626A48" w:rsidRDefault="00626A48">
                  <w:pPr>
                    <w:jc w:val="right"/>
                    <w:rPr>
                      <w:rFonts w:ascii="Lucida Sans" w:hAnsi="Lucida Sans"/>
                      <w:b/>
                      <w:bCs/>
                      <w:sz w:val="18"/>
                    </w:rPr>
                  </w:pPr>
                  <w:r>
                    <w:rPr>
                      <w:rFonts w:ascii="Lucida Sans" w:hAnsi="Lucida Sans"/>
                      <w:b/>
                      <w:bCs/>
                      <w:sz w:val="18"/>
                    </w:rPr>
                    <w:t>www.fairvote.org</w:t>
                  </w:r>
                </w:p>
              </w:txbxContent>
            </v:textbox>
          </v:shape>
        </w:pict>
      </w:r>
      <w:r w:rsidR="00626A48">
        <w:rPr>
          <w:rFonts w:ascii="Baskerville Old Face" w:hAnsi="Baskerville Old Face"/>
          <w:noProof/>
          <w:sz w:val="20"/>
        </w:rPr>
        <w:pict>
          <v:shape id="_x0000_s1031" type="#_x0000_t202" style="position:absolute;margin-left:-5.95pt;margin-top:-27pt;width:243pt;height:54pt;z-index:251657728;mso-wrap-edited:f;mso-position-horizontal-relative:text;mso-position-vertical-relative:text" wrapcoords="0 0 21600 0 21600 21600 0 21600 0 0" filled="f" stroked="f">
            <v:textbox style="mso-next-textbox:#_x0000_s1031">
              <w:txbxContent>
                <w:p w:rsidR="00626A48" w:rsidRDefault="00626A48">
                  <w:pPr>
                    <w:rPr>
                      <w:rFonts w:ascii="Lucida Sans" w:hAnsi="Lucida Sans"/>
                      <w:sz w:val="28"/>
                    </w:rPr>
                  </w:pPr>
                  <w:r>
                    <w:rPr>
                      <w:rFonts w:ascii="Lucida Sans" w:hAnsi="Lucida Sans"/>
                      <w:sz w:val="28"/>
                    </w:rPr>
                    <w:t>The Center for</w:t>
                  </w:r>
                </w:p>
                <w:p w:rsidR="00626A48" w:rsidRDefault="00626A48">
                  <w:pPr>
                    <w:rPr>
                      <w:rFonts w:ascii="Lucida Sans" w:hAnsi="Lucida Sans"/>
                      <w:sz w:val="28"/>
                    </w:rPr>
                  </w:pPr>
                  <w:r>
                    <w:rPr>
                      <w:rFonts w:ascii="Lucida Sans" w:hAnsi="Lucida Sans"/>
                      <w:sz w:val="28"/>
                    </w:rPr>
                    <w:t>Voting and Democracy</w:t>
                  </w:r>
                </w:p>
                <w:p w:rsidR="00626A48" w:rsidRDefault="00626A48">
                  <w:pPr>
                    <w:rPr>
                      <w:rFonts w:ascii="Lucida Sans" w:hAnsi="Lucida Sans"/>
                      <w:sz w:val="28"/>
                    </w:rPr>
                  </w:pPr>
                </w:p>
              </w:txbxContent>
            </v:textbox>
          </v:shape>
        </w:pict>
      </w:r>
    </w:p>
    <w:p w:rsidR="00626A48" w:rsidRDefault="00626A48">
      <w:pPr>
        <w:autoSpaceDE w:val="0"/>
        <w:autoSpaceDN w:val="0"/>
        <w:adjustRightInd w:val="0"/>
        <w:rPr>
          <w:rFonts w:ascii="Baskerville Old Face" w:hAnsi="Baskerville Old Face"/>
        </w:rPr>
      </w:pPr>
    </w:p>
    <w:p w:rsidR="007D4ED3" w:rsidRPr="007D4ED3" w:rsidRDefault="007D4ED3">
      <w:pPr>
        <w:pStyle w:val="Header"/>
        <w:tabs>
          <w:tab w:val="clear" w:pos="4320"/>
          <w:tab w:val="clear" w:pos="8640"/>
        </w:tabs>
        <w:autoSpaceDE w:val="0"/>
        <w:autoSpaceDN w:val="0"/>
        <w:adjustRightInd w:val="0"/>
        <w:jc w:val="center"/>
        <w:rPr>
          <w:b/>
          <w:sz w:val="16"/>
          <w:szCs w:val="16"/>
        </w:rPr>
      </w:pPr>
    </w:p>
    <w:p w:rsidR="00626A48" w:rsidRDefault="00626A48">
      <w:pPr>
        <w:pStyle w:val="Header"/>
        <w:tabs>
          <w:tab w:val="clear" w:pos="4320"/>
          <w:tab w:val="clear" w:pos="8640"/>
        </w:tabs>
        <w:autoSpaceDE w:val="0"/>
        <w:autoSpaceDN w:val="0"/>
        <w:adjustRightInd w:val="0"/>
        <w:jc w:val="center"/>
        <w:rPr>
          <w:b/>
          <w:bCs/>
          <w:sz w:val="32"/>
          <w:szCs w:val="32"/>
        </w:rPr>
      </w:pPr>
      <w:r>
        <w:rPr>
          <w:b/>
          <w:sz w:val="32"/>
          <w:szCs w:val="32"/>
        </w:rPr>
        <w:t>VOTER PRE</w:t>
      </w:r>
      <w:r w:rsidR="007D4ED3">
        <w:rPr>
          <w:b/>
          <w:sz w:val="32"/>
          <w:szCs w:val="32"/>
        </w:rPr>
        <w:t>-</w:t>
      </w:r>
      <w:r>
        <w:rPr>
          <w:b/>
          <w:sz w:val="32"/>
          <w:szCs w:val="32"/>
        </w:rPr>
        <w:t>REGISTRATION: A SENSIBLE INNOVATION</w:t>
      </w:r>
      <w:r>
        <w:rPr>
          <w:b/>
          <w:sz w:val="32"/>
          <w:szCs w:val="32"/>
        </w:rPr>
        <w:br/>
      </w:r>
    </w:p>
    <w:p w:rsidR="00626A48" w:rsidRDefault="00626A48">
      <w:pPr>
        <w:pStyle w:val="Header"/>
        <w:tabs>
          <w:tab w:val="clear" w:pos="4320"/>
          <w:tab w:val="clear" w:pos="8640"/>
        </w:tabs>
        <w:autoSpaceDE w:val="0"/>
        <w:autoSpaceDN w:val="0"/>
        <w:adjustRightInd w:val="0"/>
        <w:rPr>
          <w:rFonts w:ascii="Baskerville Old Face" w:hAnsi="Baskerville Old Face"/>
        </w:rPr>
      </w:pPr>
      <w:r>
        <w:rPr>
          <w:rFonts w:ascii="Baskerville Old Face" w:hAnsi="Baskerville Old Face"/>
          <w:bCs/>
          <w:szCs w:val="22"/>
        </w:rPr>
        <w:t xml:space="preserve">The oft-repeated myth is that young people don’t vote. But it’s not quite true. Young people in major elections often vote in comparable rates to older citizens when they’re registered, but they tend to be registered at much lower rates. </w:t>
      </w:r>
      <w:r>
        <w:rPr>
          <w:rFonts w:ascii="Baskerville Old Face" w:hAnsi="Baskerville Old Face"/>
        </w:rPr>
        <w:t>A significant disparity exists between the percentage of young people registered to vote and the percentage of the general population. As of 2008, 71% of eligible voters were registered; 59% of eligible voters age 18-24 were registered.</w:t>
      </w:r>
    </w:p>
    <w:p w:rsidR="00626A48" w:rsidRDefault="00626A48">
      <w:pPr>
        <w:pStyle w:val="Header"/>
        <w:tabs>
          <w:tab w:val="clear" w:pos="4320"/>
          <w:tab w:val="clear" w:pos="8640"/>
        </w:tabs>
        <w:autoSpaceDE w:val="0"/>
        <w:autoSpaceDN w:val="0"/>
        <w:adjustRightInd w:val="0"/>
      </w:pPr>
    </w:p>
    <w:p w:rsidR="00626A48" w:rsidRDefault="00626A48">
      <w:pPr>
        <w:pStyle w:val="Header"/>
        <w:tabs>
          <w:tab w:val="clear" w:pos="4320"/>
          <w:tab w:val="clear" w:pos="8640"/>
        </w:tabs>
        <w:autoSpaceDE w:val="0"/>
        <w:autoSpaceDN w:val="0"/>
        <w:adjustRightInd w:val="0"/>
        <w:rPr>
          <w:rFonts w:ascii="Baskerville Old Face" w:hAnsi="Baskerville Old Face"/>
        </w:rPr>
      </w:pPr>
      <w:r>
        <w:rPr>
          <w:rFonts w:ascii="Baskerville Old Face" w:hAnsi="Baskerville Old Face"/>
          <w:bCs/>
          <w:szCs w:val="22"/>
        </w:rPr>
        <w:t xml:space="preserve">To help address this problem, </w:t>
      </w:r>
      <w:r>
        <w:rPr>
          <w:rFonts w:ascii="Baskerville Old Face" w:hAnsi="Baskerville Old Face"/>
        </w:rPr>
        <w:t xml:space="preserve">Hawaii, North Carolina, Rhode Island, Washington, D.C., Oregon, California, Puerto Rico and Maryland have all implemented some form of youth voter pre-registration: most establishing a uniform voter pre-registration age of 16. Lack of uniformity in voter registration age (depending on when the next general election will occur) creates confusion and undercuts effective voter ed programs in schools and at the DMV. Allowing pre-registration at age 16 make sense, as that is when many people get their drivers licenses, and they could pre-register to vote at the DMV. In addition, 16-year-olds still have to attend school, so they have the chance to register in effective school programs. And of course pre-registration does </w:t>
      </w:r>
      <w:r>
        <w:rPr>
          <w:rFonts w:ascii="Baskerville Old Face" w:hAnsi="Baskerville Old Face"/>
          <w:i/>
          <w:iCs/>
        </w:rPr>
        <w:t xml:space="preserve">not </w:t>
      </w:r>
      <w:r>
        <w:rPr>
          <w:rFonts w:ascii="Baskerville Old Face" w:hAnsi="Baskerville Old Face"/>
        </w:rPr>
        <w:t>change the voting age. Local and state jurisdictions can lower the voting age if they so choose, but it is a separate question from voter registration.</w:t>
      </w:r>
    </w:p>
    <w:p w:rsidR="00626A48" w:rsidRDefault="00626A48">
      <w:pPr>
        <w:pStyle w:val="Header"/>
        <w:tabs>
          <w:tab w:val="clear" w:pos="4320"/>
          <w:tab w:val="clear" w:pos="8640"/>
        </w:tabs>
        <w:autoSpaceDE w:val="0"/>
        <w:autoSpaceDN w:val="0"/>
        <w:adjustRightInd w:val="0"/>
        <w:rPr>
          <w:rFonts w:ascii="Baskerville Old Face" w:hAnsi="Baskerville Old Face"/>
        </w:rPr>
      </w:pPr>
    </w:p>
    <w:p w:rsidR="00626A48" w:rsidRDefault="007D4ED3">
      <w:pPr>
        <w:rPr>
          <w:rFonts w:ascii="Baskerville Old Face" w:hAnsi="Baskerville Old Face"/>
        </w:rPr>
      </w:pPr>
      <w:r>
        <w:rPr>
          <w:rFonts w:ascii="Baskerville Old Face" w:hAnsi="Baskerville Old Face"/>
        </w:rPr>
        <w:t>Here are quotes</w:t>
      </w:r>
      <w:r w:rsidR="00626A48">
        <w:rPr>
          <w:rFonts w:ascii="Baskerville Old Face" w:hAnsi="Baskerville Old Face"/>
        </w:rPr>
        <w:t xml:space="preserve"> about voter pre-registration:</w:t>
      </w:r>
    </w:p>
    <w:p w:rsidR="00626A48" w:rsidRDefault="007D4ED3">
      <w:pPr>
        <w:pStyle w:val="Header"/>
        <w:tabs>
          <w:tab w:val="clear" w:pos="4320"/>
          <w:tab w:val="clear" w:pos="8640"/>
        </w:tabs>
        <w:autoSpaceDE w:val="0"/>
        <w:autoSpaceDN w:val="0"/>
        <w:adjustRightInd w:val="0"/>
      </w:pPr>
      <w:r>
        <w:rPr>
          <w:rFonts w:ascii="Baskerville Old Face" w:hAnsi="Baskerville Old Face"/>
          <w:noProof/>
          <w:sz w:val="20"/>
        </w:rPr>
        <w:pict>
          <v:shape id="_x0000_s1036" type="#_x0000_t202" style="position:absolute;margin-left:-11.85pt;margin-top:15.6pt;width:237.75pt;height:141.6pt;z-index:251660800;mso-wrap-distance-right:21.6pt" fillcolor="silver">
            <v:fill opacity=".5"/>
            <v:textbox style="mso-next-textbox:#_x0000_s1036">
              <w:txbxContent>
                <w:p w:rsidR="00626A48" w:rsidRPr="007D4ED3" w:rsidRDefault="00626A48">
                  <w:pPr>
                    <w:pStyle w:val="Header"/>
                    <w:tabs>
                      <w:tab w:val="clear" w:pos="4320"/>
                      <w:tab w:val="clear" w:pos="8640"/>
                    </w:tabs>
                    <w:rPr>
                      <w:rFonts w:ascii="Baskerville Old Face" w:hAnsi="Baskerville Old Face"/>
                      <w:bCs/>
                    </w:rPr>
                  </w:pPr>
                  <w:r w:rsidRPr="007D4ED3">
                    <w:rPr>
                      <w:rFonts w:ascii="Baskerville Old Face" w:hAnsi="Baskerville Old Face"/>
                      <w:bCs/>
                    </w:rPr>
                    <w:t>“There is no better place to challenge the expectation of nonparticipation than in our high schools. Nearly every citizen enters high school too young to vote and leaves eligible to vote. Yet</w:t>
                  </w:r>
                  <w:r w:rsidR="007D4ED3">
                    <w:rPr>
                      <w:rFonts w:ascii="Baskerville Old Face" w:hAnsi="Baskerville Old Face"/>
                      <w:bCs/>
                    </w:rPr>
                    <w:t xml:space="preserve"> </w:t>
                  </w:r>
                  <w:r w:rsidRPr="007D4ED3">
                    <w:rPr>
                      <w:rFonts w:ascii="Baskerville Old Face" w:hAnsi="Baskerville Old Face"/>
                      <w:bCs/>
                    </w:rPr>
                    <w:t xml:space="preserve">most students </w:t>
                  </w:r>
                  <w:r w:rsidR="007D4ED3">
                    <w:rPr>
                      <w:rFonts w:ascii="Baskerville Old Face" w:hAnsi="Baskerville Old Face"/>
                      <w:bCs/>
                    </w:rPr>
                    <w:t xml:space="preserve">today </w:t>
                  </w:r>
                  <w:r w:rsidRPr="007D4ED3">
                    <w:rPr>
                      <w:rFonts w:ascii="Baskerville Old Face" w:hAnsi="Baskerville Old Face"/>
                      <w:bCs/>
                    </w:rPr>
                    <w:t xml:space="preserve">leave without registering or obtaining even rudimentary information about how to vote.”  </w:t>
                  </w:r>
                </w:p>
                <w:p w:rsidR="00626A48" w:rsidRDefault="00626A48">
                  <w:pPr>
                    <w:pStyle w:val="Header"/>
                    <w:tabs>
                      <w:tab w:val="clear" w:pos="4320"/>
                      <w:tab w:val="clear" w:pos="8640"/>
                    </w:tabs>
                    <w:rPr>
                      <w:rFonts w:ascii="Baskerville Old Face" w:hAnsi="Baskerville Old Face"/>
                      <w:bCs/>
                      <w:i/>
                    </w:rPr>
                  </w:pPr>
                  <w:r>
                    <w:rPr>
                      <w:rFonts w:ascii="Baskerville Old Face" w:hAnsi="Baskerville Old Face"/>
                      <w:b/>
                      <w:bCs/>
                    </w:rPr>
                    <w:br/>
                    <w:t>-</w:t>
                  </w:r>
                  <w:r>
                    <w:rPr>
                      <w:rFonts w:ascii="Baskerville Old Face" w:hAnsi="Baskerville Old Face"/>
                      <w:bCs/>
                      <w:i/>
                    </w:rPr>
                    <w:t>Rob Richie, Executive Director of FairVote</w:t>
                  </w:r>
                </w:p>
                <w:p w:rsidR="00626A48" w:rsidRDefault="00626A48">
                  <w:pPr>
                    <w:rPr>
                      <w:rFonts w:ascii="Baskerville Old Face" w:hAnsi="Baskerville Old Face"/>
                      <w:b/>
                      <w:bCs/>
                    </w:rPr>
                  </w:pPr>
                </w:p>
                <w:p w:rsidR="00626A48" w:rsidRDefault="00626A48">
                  <w:pPr>
                    <w:pStyle w:val="BodyText"/>
                  </w:pPr>
                </w:p>
              </w:txbxContent>
            </v:textbox>
            <w10:wrap type="square"/>
          </v:shape>
        </w:pict>
      </w:r>
      <w:r>
        <w:rPr>
          <w:rFonts w:ascii="Baskerville Old Face" w:hAnsi="Baskerville Old Face"/>
          <w:noProof/>
          <w:sz w:val="20"/>
        </w:rPr>
        <w:pict>
          <v:shape id="_x0000_s1027" type="#_x0000_t202" style="position:absolute;margin-left:262.5pt;margin-top:5.7pt;width:224.25pt;height:121.3pt;z-index:251654656;mso-wrap-distance-left:10.8pt;mso-wrap-distance-bottom:36pt" fillcolor="silver">
            <v:fill opacity=".5"/>
            <v:textbox>
              <w:txbxContent>
                <w:p w:rsidR="00626A48" w:rsidRPr="007D4ED3" w:rsidRDefault="00626A48">
                  <w:pPr>
                    <w:autoSpaceDE w:val="0"/>
                    <w:autoSpaceDN w:val="0"/>
                    <w:adjustRightInd w:val="0"/>
                    <w:rPr>
                      <w:bCs/>
                    </w:rPr>
                  </w:pPr>
                  <w:r w:rsidRPr="007D4ED3">
                    <w:rPr>
                      <w:rFonts w:ascii="Baskerville Old Face" w:hAnsi="Baskerville Old Face"/>
                      <w:bCs/>
                    </w:rPr>
                    <w:t>“Following the procedures described in the legislation, I believe we can maintain the security and integrity of our elections and provide additional access for young people to the voting process.</w:t>
                  </w:r>
                  <w:r w:rsidRPr="007D4ED3">
                    <w:rPr>
                      <w:bCs/>
                    </w:rPr>
                    <w:t>”</w:t>
                  </w:r>
                  <w:r w:rsidRPr="007D4ED3">
                    <w:rPr>
                      <w:bCs/>
                    </w:rPr>
                    <w:br/>
                  </w:r>
                </w:p>
                <w:p w:rsidR="00626A48" w:rsidRDefault="00626A48">
                  <w:pPr>
                    <w:rPr>
                      <w:rFonts w:ascii="Baskerville Old Face" w:hAnsi="Baskerville Old Face"/>
                      <w:b/>
                      <w:bCs/>
                    </w:rPr>
                  </w:pPr>
                  <w:r>
                    <w:rPr>
                      <w:rFonts w:ascii="Baskerville Old Face" w:hAnsi="Baskerville Old Face"/>
                      <w:b/>
                      <w:bCs/>
                    </w:rPr>
                    <w:t>-</w:t>
                  </w:r>
                  <w:r>
                    <w:rPr>
                      <w:rFonts w:ascii="Baskerville Old Face" w:hAnsi="Baskerville Old Face"/>
                      <w:bCs/>
                      <w:i/>
                    </w:rPr>
                    <w:t>Gary Bartlett, Executive Director of the NC State Board of Elections</w:t>
                  </w:r>
                  <w:r w:rsidR="007D4ED3">
                    <w:rPr>
                      <w:rFonts w:ascii="Baskerville Old Face" w:hAnsi="Baskerville Old Face"/>
                      <w:bCs/>
                      <w:i/>
                    </w:rPr>
                    <w:t>, 2009</w:t>
                  </w:r>
                </w:p>
                <w:p w:rsidR="00626A48" w:rsidRDefault="00626A48">
                  <w:pPr>
                    <w:pStyle w:val="BodyText"/>
                  </w:pPr>
                </w:p>
              </w:txbxContent>
            </v:textbox>
            <w10:wrap type="square"/>
          </v:shape>
        </w:pict>
      </w:r>
      <w:r w:rsidR="00626A48">
        <w:t>.</w:t>
      </w:r>
    </w:p>
    <w:p w:rsidR="00626A48" w:rsidRDefault="00626A48">
      <w:pPr>
        <w:rPr>
          <w:rFonts w:ascii="Baskerville Old Face" w:hAnsi="Baskerville Old Face"/>
        </w:rPr>
      </w:pPr>
      <w:r>
        <w:rPr>
          <w:noProof/>
          <w:sz w:val="20"/>
        </w:rPr>
        <w:pict>
          <v:shape id="_x0000_s1034" type="#_x0000_t202" style="position:absolute;margin-left:255.95pt;margin-top:131.4pt;width:236.8pt;height:149.6pt;z-index:251659776" fillcolor="silver">
            <v:fill opacity=".5"/>
            <v:textbox style="mso-next-textbox:#_x0000_s1034">
              <w:txbxContent>
                <w:p w:rsidR="00626A48" w:rsidRPr="007D4ED3" w:rsidRDefault="00626A48">
                  <w:pPr>
                    <w:pStyle w:val="BodyText"/>
                    <w:rPr>
                      <w:b w:val="0"/>
                    </w:rPr>
                  </w:pPr>
                  <w:r w:rsidRPr="007D4ED3">
                    <w:rPr>
                      <w:b w:val="0"/>
                    </w:rPr>
                    <w:t>“[Florida and Hawaii] pre</w:t>
                  </w:r>
                  <w:r w:rsidR="007D4ED3">
                    <w:rPr>
                      <w:b w:val="0"/>
                    </w:rPr>
                    <w:t>-</w:t>
                  </w:r>
                  <w:r w:rsidRPr="007D4ED3">
                    <w:rPr>
                      <w:b w:val="0"/>
                    </w:rPr>
                    <w:t>register tens of thousands of eligible young people who remain on the voter rolls at rates comparable to the adult population. Pre</w:t>
                  </w:r>
                  <w:r w:rsidR="007D4ED3">
                    <w:rPr>
                      <w:b w:val="0"/>
                    </w:rPr>
                    <w:t>-</w:t>
                  </w:r>
                  <w:r w:rsidRPr="007D4ED3">
                    <w:rPr>
                      <w:b w:val="0"/>
                    </w:rPr>
                    <w:t>registration appears to have a modest positive stimulative effect on voter turnout.”</w:t>
                  </w:r>
                </w:p>
                <w:p w:rsidR="00626A48" w:rsidRPr="007D4ED3" w:rsidRDefault="00626A48">
                  <w:pPr>
                    <w:pStyle w:val="BodyText"/>
                    <w:rPr>
                      <w:sz w:val="16"/>
                      <w:szCs w:val="16"/>
                    </w:rPr>
                  </w:pPr>
                </w:p>
                <w:p w:rsidR="00626A48" w:rsidRDefault="00626A48">
                  <w:pPr>
                    <w:pStyle w:val="BodyText"/>
                    <w:rPr>
                      <w:b w:val="0"/>
                    </w:rPr>
                  </w:pPr>
                  <w:r>
                    <w:rPr>
                      <w:b w:val="0"/>
                    </w:rPr>
                    <w:t>-</w:t>
                  </w:r>
                  <w:r w:rsidR="007D4ED3">
                    <w:rPr>
                      <w:b w:val="0"/>
                      <w:i/>
                    </w:rPr>
                    <w:t xml:space="preserve"> Michael McDonald of George Mason University in </w:t>
                  </w:r>
                  <w:r>
                    <w:rPr>
                      <w:b w:val="0"/>
                      <w:i/>
                    </w:rPr>
                    <w:t>2009 report analyzing the effects of vo</w:t>
                  </w:r>
                  <w:r w:rsidR="007D4ED3">
                    <w:rPr>
                      <w:b w:val="0"/>
                      <w:i/>
                    </w:rPr>
                    <w:t>ter pre-registration</w:t>
                  </w:r>
                </w:p>
              </w:txbxContent>
            </v:textbox>
          </v:shape>
        </w:pict>
      </w:r>
      <w:r>
        <w:rPr>
          <w:rFonts w:ascii="Baskerville Old Face" w:hAnsi="Baskerville Old Face"/>
        </w:rPr>
        <w:t xml:space="preserve"> </w:t>
      </w:r>
    </w:p>
    <w:p w:rsidR="00626A48" w:rsidRDefault="00626A48">
      <w:pPr>
        <w:rPr>
          <w:rFonts w:ascii="Baskerville Old Face" w:hAnsi="Baskerville Old Face"/>
        </w:rPr>
      </w:pPr>
      <w:r>
        <w:rPr>
          <w:rFonts w:ascii="Baskerville Old Face" w:hAnsi="Baskerville Old Face"/>
          <w:noProof/>
          <w:sz w:val="20"/>
        </w:rPr>
        <w:pict>
          <v:shape id="_x0000_s1029" type="#_x0000_t202" style="position:absolute;margin-left:-11.85pt;margin-top:21.8pt;width:237.75pt;height:81pt;z-index:251655680;mso-wrap-distance-left:10.8pt;mso-wrap-distance-bottom:50.4pt" fillcolor="silver">
            <v:fill opacity=".5"/>
            <v:textbox>
              <w:txbxContent>
                <w:p w:rsidR="00626A48" w:rsidRPr="007D4ED3" w:rsidRDefault="00626A48">
                  <w:pPr>
                    <w:pStyle w:val="BodyText"/>
                    <w:rPr>
                      <w:b w:val="0"/>
                    </w:rPr>
                  </w:pPr>
                  <w:r w:rsidRPr="007D4ED3">
                    <w:rPr>
                      <w:b w:val="0"/>
                    </w:rPr>
                    <w:t>“It's good</w:t>
                  </w:r>
                  <w:r w:rsidR="007D4ED3">
                    <w:rPr>
                      <w:b w:val="0"/>
                    </w:rPr>
                    <w:t xml:space="preserve"> politics. It's good government.</w:t>
                  </w:r>
                  <w:r w:rsidRPr="007D4ED3">
                    <w:rPr>
                      <w:b w:val="0"/>
                    </w:rPr>
                    <w:t xml:space="preserve"> It's just the thing we ought to be doing.”</w:t>
                  </w:r>
                </w:p>
                <w:p w:rsidR="00626A48" w:rsidRDefault="00626A48">
                  <w:pPr>
                    <w:rPr>
                      <w:rFonts w:ascii="Baskerville Old Face" w:hAnsi="Baskerville Old Face"/>
                      <w:b/>
                      <w:bCs/>
                    </w:rPr>
                  </w:pPr>
                </w:p>
                <w:p w:rsidR="00626A48" w:rsidRDefault="00626A48">
                  <w:pPr>
                    <w:rPr>
                      <w:rFonts w:ascii="Baskerville Old Face" w:hAnsi="Baskerville Old Face"/>
                      <w:b/>
                      <w:bCs/>
                    </w:rPr>
                  </w:pPr>
                  <w:r>
                    <w:rPr>
                      <w:rFonts w:ascii="Baskerville Old Face" w:hAnsi="Baskerville Old Face"/>
                      <w:b/>
                      <w:bCs/>
                    </w:rPr>
                    <w:t xml:space="preserve">- </w:t>
                  </w:r>
                  <w:r>
                    <w:rPr>
                      <w:rFonts w:ascii="Baskerville Old Face" w:hAnsi="Baskerville Old Face"/>
                      <w:bCs/>
                      <w:i/>
                    </w:rPr>
                    <w:t>Kelda Helen Roys, Wisconsin State Representative</w:t>
                  </w:r>
                  <w:r w:rsidR="007D4ED3">
                    <w:rPr>
                      <w:rFonts w:ascii="Baskerville Old Face" w:hAnsi="Baskerville Old Face"/>
                      <w:bCs/>
                      <w:i/>
                    </w:rPr>
                    <w:t>, 2009</w:t>
                  </w:r>
                </w:p>
                <w:p w:rsidR="00626A48" w:rsidRDefault="00626A48">
                  <w:pPr>
                    <w:pStyle w:val="Header"/>
                    <w:tabs>
                      <w:tab w:val="clear" w:pos="4320"/>
                      <w:tab w:val="clear" w:pos="8640"/>
                    </w:tabs>
                    <w:rPr>
                      <w:rFonts w:ascii="Baskerville Old Face" w:hAnsi="Baskerville Old Face"/>
                      <w:b/>
                      <w:bCs/>
                    </w:rPr>
                  </w:pPr>
                </w:p>
                <w:p w:rsidR="00626A48" w:rsidRDefault="00626A48">
                  <w:pPr>
                    <w:rPr>
                      <w:rFonts w:ascii="Baskerville Old Face" w:hAnsi="Baskerville Old Face"/>
                      <w:b/>
                      <w:bCs/>
                    </w:rPr>
                  </w:pPr>
                </w:p>
                <w:p w:rsidR="00626A48" w:rsidRDefault="00626A48">
                  <w:pPr>
                    <w:pStyle w:val="BodyText"/>
                  </w:pPr>
                </w:p>
              </w:txbxContent>
            </v:textbox>
            <w10:wrap type="square"/>
          </v:shape>
        </w:pict>
      </w:r>
    </w:p>
    <w:sectPr w:rsidR="00626A48">
      <w:headerReference w:type="default" r:id="rId8"/>
      <w:footerReference w:type="default" r:id="rId9"/>
      <w:pgSz w:w="12240" w:h="15840"/>
      <w:pgMar w:top="1440"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A48" w:rsidRDefault="00626A48">
      <w:r>
        <w:separator/>
      </w:r>
    </w:p>
  </w:endnote>
  <w:endnote w:type="continuationSeparator" w:id="0">
    <w:p w:rsidR="00626A48" w:rsidRDefault="00626A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altName w:val="Times New Roman"/>
    <w:charset w:val="00"/>
    <w:family w:val="roman"/>
    <w:pitch w:val="variable"/>
    <w:sig w:usb0="00000003" w:usb1="00000000" w:usb2="00000000" w:usb3="00000000" w:csb0="00000001" w:csb1="00000000"/>
  </w:font>
  <w:font w:name="Lucida Sans">
    <w:altName w:val="Lucida Sans Unicode"/>
    <w:charset w:val="00"/>
    <w:family w:val="swiss"/>
    <w:pitch w:val="variable"/>
    <w:sig w:usb0="00000003" w:usb1="00000000" w:usb2="00000000" w:usb3="00000000" w:csb0="00000001" w:csb1="00000000"/>
  </w:font>
  <w:font w:name="Algerian">
    <w:altName w:val="Courier New"/>
    <w:charset w:val="00"/>
    <w:family w:val="decorativ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A48" w:rsidRDefault="00626A48">
    <w:pPr>
      <w:pStyle w:val="Footer"/>
      <w:pBdr>
        <w:top w:val="single" w:sz="6" w:space="1" w:color="auto"/>
      </w:pBdr>
      <w:jc w:val="center"/>
      <w:rPr>
        <w:rFonts w:ascii="Lucida Sans" w:hAnsi="Lucida Sans"/>
        <w:bCs/>
        <w:sz w:val="18"/>
      </w:rPr>
    </w:pPr>
    <w:r>
      <w:rPr>
        <w:rFonts w:ascii="Lucida Sans" w:hAnsi="Lucida Sans"/>
        <w:bCs/>
        <w:sz w:val="18"/>
      </w:rPr>
      <w:t xml:space="preserve">FairVote Board of Directors: Krist Novoselic (Chair)  </w:t>
    </w:r>
    <w:r>
      <w:rPr>
        <w:rFonts w:ascii="Lucida Console" w:hAnsi="Lucida Console"/>
        <w:bCs/>
        <w:sz w:val="18"/>
      </w:rPr>
      <w:t>○</w:t>
    </w:r>
    <w:r>
      <w:rPr>
        <w:rFonts w:ascii="Lucida Sans" w:hAnsi="Lucida Sans"/>
        <w:bCs/>
        <w:sz w:val="18"/>
      </w:rPr>
      <w:t xml:space="preserve">  Edward Hailes (Vice-Chair) </w:t>
    </w:r>
  </w:p>
  <w:p w:rsidR="00626A48" w:rsidRDefault="00626A48">
    <w:pPr>
      <w:pStyle w:val="Footer"/>
      <w:pBdr>
        <w:top w:val="single" w:sz="6" w:space="1" w:color="auto"/>
      </w:pBdr>
      <w:jc w:val="center"/>
      <w:rPr>
        <w:rFonts w:ascii="Lucida Sans" w:hAnsi="Lucida Sans"/>
        <w:bCs/>
        <w:sz w:val="18"/>
      </w:rPr>
    </w:pPr>
    <w:r>
      <w:rPr>
        <w:rFonts w:ascii="Lucida Sans" w:hAnsi="Lucida Sans"/>
        <w:bCs/>
        <w:sz w:val="18"/>
      </w:rPr>
      <w:t xml:space="preserve">John B. Anderson  </w:t>
    </w:r>
    <w:r>
      <w:rPr>
        <w:rFonts w:ascii="Lucida Console" w:hAnsi="Lucida Console"/>
        <w:bCs/>
        <w:sz w:val="18"/>
      </w:rPr>
      <w:t>○</w:t>
    </w:r>
    <w:r>
      <w:rPr>
        <w:rFonts w:ascii="Lucida Sans" w:hAnsi="Lucida Sans"/>
        <w:bCs/>
        <w:sz w:val="18"/>
      </w:rPr>
      <w:t xml:space="preserve"> Cynthia Terrell </w:t>
    </w:r>
    <w:r>
      <w:rPr>
        <w:rFonts w:ascii="Lucida Console" w:hAnsi="Lucida Console"/>
        <w:bCs/>
        <w:sz w:val="18"/>
      </w:rPr>
      <w:t xml:space="preserve">○ </w:t>
    </w:r>
    <w:r>
      <w:rPr>
        <w:rFonts w:ascii="Lucida Sans" w:hAnsi="Lucida Sans"/>
        <w:bCs/>
        <w:sz w:val="18"/>
      </w:rPr>
      <w:t xml:space="preserve">Hendrik Hertzberg  </w:t>
    </w:r>
    <w:r>
      <w:rPr>
        <w:rFonts w:ascii="Lucida Console" w:hAnsi="Lucida Console"/>
        <w:bCs/>
        <w:sz w:val="18"/>
      </w:rPr>
      <w:t xml:space="preserve">○ </w:t>
    </w:r>
    <w:r>
      <w:rPr>
        <w:rFonts w:ascii="Lucida Sans" w:hAnsi="Lucida Sans"/>
        <w:bCs/>
        <w:sz w:val="18"/>
      </w:rPr>
      <w:t xml:space="preserve">Malia Lazu </w:t>
    </w:r>
  </w:p>
  <w:p w:rsidR="00626A48" w:rsidRDefault="00626A48">
    <w:pPr>
      <w:pStyle w:val="Footer"/>
      <w:jc w:val="center"/>
      <w:rPr>
        <w:rFonts w:ascii="Baskerville Old Face" w:hAnsi="Baskerville Old Face"/>
        <w:sz w:val="20"/>
      </w:rPr>
    </w:pPr>
    <w:r>
      <w:rPr>
        <w:rFonts w:ascii="Lucida Sans" w:hAnsi="Lucida Sans"/>
        <w:bCs/>
        <w:sz w:val="18"/>
      </w:rPr>
      <w:t xml:space="preserve">Pete Martineau  </w:t>
    </w:r>
    <w:r>
      <w:rPr>
        <w:rFonts w:ascii="Lucida Console" w:hAnsi="Lucida Console"/>
        <w:bCs/>
        <w:sz w:val="18"/>
      </w:rPr>
      <w:t xml:space="preserve">○ </w:t>
    </w:r>
    <w:r>
      <w:rPr>
        <w:rFonts w:ascii="Lucida Sans" w:hAnsi="Lucida Sans"/>
        <w:bCs/>
        <w:sz w:val="18"/>
      </w:rPr>
      <w:t xml:space="preserve">William Redpath  </w:t>
    </w:r>
    <w:r>
      <w:rPr>
        <w:rFonts w:ascii="Lucida Console" w:hAnsi="Lucida Console"/>
        <w:bCs/>
        <w:sz w:val="18"/>
      </w:rPr>
      <w:t>○</w:t>
    </w:r>
    <w:r>
      <w:rPr>
        <w:rFonts w:ascii="Lucida Sans" w:hAnsi="Lucida Sans"/>
        <w:bCs/>
        <w:sz w:val="18"/>
      </w:rPr>
      <w:t xml:space="preserve">  Ken Ritchie </w:t>
    </w:r>
    <w:r>
      <w:rPr>
        <w:rFonts w:ascii="Lucida Console" w:hAnsi="Lucida Console"/>
        <w:bCs/>
        <w:sz w:val="18"/>
      </w:rPr>
      <w:t xml:space="preserve">○ </w:t>
    </w:r>
    <w:r>
      <w:rPr>
        <w:rFonts w:ascii="Lucida Sans" w:hAnsi="Lucida Sans"/>
        <w:bCs/>
        <w:sz w:val="18"/>
      </w:rPr>
      <w:t>David Wilner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A48" w:rsidRDefault="00626A48">
      <w:r>
        <w:separator/>
      </w:r>
    </w:p>
  </w:footnote>
  <w:footnote w:type="continuationSeparator" w:id="0">
    <w:p w:rsidR="00626A48" w:rsidRDefault="00626A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A48" w:rsidRDefault="00626A48">
    <w:pPr>
      <w:pStyle w:val="Header"/>
      <w:jc w:val="center"/>
      <w:rPr>
        <w:rFonts w:ascii="Algerian" w:hAnsi="Algerian"/>
        <w:b/>
        <w:bCs/>
        <w:sz w:val="4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14A49"/>
    <w:multiLevelType w:val="hybridMultilevel"/>
    <w:tmpl w:val="1DEA0078"/>
    <w:lvl w:ilvl="0" w:tplc="4080DDA8">
      <w:start w:val="1"/>
      <w:numFmt w:val="bullet"/>
      <w:lvlText w:val=""/>
      <w:lvlJc w:val="left"/>
      <w:pPr>
        <w:tabs>
          <w:tab w:val="num" w:pos="720"/>
        </w:tabs>
        <w:ind w:left="720" w:hanging="360"/>
      </w:pPr>
      <w:rPr>
        <w:rFonts w:ascii="Symbol" w:hAnsi="Symbol" w:hint="default"/>
        <w:sz w:val="20"/>
      </w:rPr>
    </w:lvl>
    <w:lvl w:ilvl="1" w:tplc="FE14C89A" w:tentative="1">
      <w:start w:val="1"/>
      <w:numFmt w:val="bullet"/>
      <w:lvlText w:val="o"/>
      <w:lvlJc w:val="left"/>
      <w:pPr>
        <w:tabs>
          <w:tab w:val="num" w:pos="1440"/>
        </w:tabs>
        <w:ind w:left="1440" w:hanging="360"/>
      </w:pPr>
      <w:rPr>
        <w:rFonts w:ascii="Courier New" w:hAnsi="Courier New" w:hint="default"/>
        <w:sz w:val="20"/>
      </w:rPr>
    </w:lvl>
    <w:lvl w:ilvl="2" w:tplc="4B186798" w:tentative="1">
      <w:start w:val="1"/>
      <w:numFmt w:val="bullet"/>
      <w:lvlText w:val=""/>
      <w:lvlJc w:val="left"/>
      <w:pPr>
        <w:tabs>
          <w:tab w:val="num" w:pos="2160"/>
        </w:tabs>
        <w:ind w:left="2160" w:hanging="360"/>
      </w:pPr>
      <w:rPr>
        <w:rFonts w:ascii="Wingdings" w:hAnsi="Wingdings" w:hint="default"/>
        <w:sz w:val="20"/>
      </w:rPr>
    </w:lvl>
    <w:lvl w:ilvl="3" w:tplc="B1188A2C" w:tentative="1">
      <w:start w:val="1"/>
      <w:numFmt w:val="bullet"/>
      <w:lvlText w:val=""/>
      <w:lvlJc w:val="left"/>
      <w:pPr>
        <w:tabs>
          <w:tab w:val="num" w:pos="2880"/>
        </w:tabs>
        <w:ind w:left="2880" w:hanging="360"/>
      </w:pPr>
      <w:rPr>
        <w:rFonts w:ascii="Wingdings" w:hAnsi="Wingdings" w:hint="default"/>
        <w:sz w:val="20"/>
      </w:rPr>
    </w:lvl>
    <w:lvl w:ilvl="4" w:tplc="61EE69BE" w:tentative="1">
      <w:start w:val="1"/>
      <w:numFmt w:val="bullet"/>
      <w:lvlText w:val=""/>
      <w:lvlJc w:val="left"/>
      <w:pPr>
        <w:tabs>
          <w:tab w:val="num" w:pos="3600"/>
        </w:tabs>
        <w:ind w:left="3600" w:hanging="360"/>
      </w:pPr>
      <w:rPr>
        <w:rFonts w:ascii="Wingdings" w:hAnsi="Wingdings" w:hint="default"/>
        <w:sz w:val="20"/>
      </w:rPr>
    </w:lvl>
    <w:lvl w:ilvl="5" w:tplc="F64AFAAE" w:tentative="1">
      <w:start w:val="1"/>
      <w:numFmt w:val="bullet"/>
      <w:lvlText w:val=""/>
      <w:lvlJc w:val="left"/>
      <w:pPr>
        <w:tabs>
          <w:tab w:val="num" w:pos="4320"/>
        </w:tabs>
        <w:ind w:left="4320" w:hanging="360"/>
      </w:pPr>
      <w:rPr>
        <w:rFonts w:ascii="Wingdings" w:hAnsi="Wingdings" w:hint="default"/>
        <w:sz w:val="20"/>
      </w:rPr>
    </w:lvl>
    <w:lvl w:ilvl="6" w:tplc="91A4D29A" w:tentative="1">
      <w:start w:val="1"/>
      <w:numFmt w:val="bullet"/>
      <w:lvlText w:val=""/>
      <w:lvlJc w:val="left"/>
      <w:pPr>
        <w:tabs>
          <w:tab w:val="num" w:pos="5040"/>
        </w:tabs>
        <w:ind w:left="5040" w:hanging="360"/>
      </w:pPr>
      <w:rPr>
        <w:rFonts w:ascii="Wingdings" w:hAnsi="Wingdings" w:hint="default"/>
        <w:sz w:val="20"/>
      </w:rPr>
    </w:lvl>
    <w:lvl w:ilvl="7" w:tplc="105849B2" w:tentative="1">
      <w:start w:val="1"/>
      <w:numFmt w:val="bullet"/>
      <w:lvlText w:val=""/>
      <w:lvlJc w:val="left"/>
      <w:pPr>
        <w:tabs>
          <w:tab w:val="num" w:pos="5760"/>
        </w:tabs>
        <w:ind w:left="5760" w:hanging="360"/>
      </w:pPr>
      <w:rPr>
        <w:rFonts w:ascii="Wingdings" w:hAnsi="Wingdings" w:hint="default"/>
        <w:sz w:val="20"/>
      </w:rPr>
    </w:lvl>
    <w:lvl w:ilvl="8" w:tplc="9E4C4782" w:tentative="1">
      <w:start w:val="1"/>
      <w:numFmt w:val="bullet"/>
      <w:lvlText w:val=""/>
      <w:lvlJc w:val="left"/>
      <w:pPr>
        <w:tabs>
          <w:tab w:val="num" w:pos="6480"/>
        </w:tabs>
        <w:ind w:left="6480" w:hanging="360"/>
      </w:pPr>
      <w:rPr>
        <w:rFonts w:ascii="Wingdings" w:hAnsi="Wingdings" w:hint="default"/>
        <w:sz w:val="20"/>
      </w:rPr>
    </w:lvl>
  </w:abstractNum>
  <w:abstractNum w:abstractNumId="1">
    <w:nsid w:val="68FD0BD2"/>
    <w:multiLevelType w:val="hybridMultilevel"/>
    <w:tmpl w:val="428A15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HyphenateCaps/>
  <w:characterSpacingControl w:val="doNotCompress"/>
  <w:footnotePr>
    <w:footnote w:id="-1"/>
    <w:footnote w:id="0"/>
  </w:footnotePr>
  <w:endnotePr>
    <w:endnote w:id="-1"/>
    <w:endnote w:id="0"/>
  </w:endnotePr>
  <w:compat/>
  <w:rsids>
    <w:rsidRoot w:val="000F3933"/>
    <w:rsid w:val="000F3933"/>
    <w:rsid w:val="00275122"/>
    <w:rsid w:val="00626A48"/>
    <w:rsid w:val="007D4E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rFonts w:ascii="Times New Roman" w:hAnsi="Times New Roman" w:cs="Times New Roman"/>
      <w:color w:val="0000FF"/>
      <w:u w:val="single"/>
    </w:rPr>
  </w:style>
  <w:style w:type="paragraph" w:styleId="Subtitle">
    <w:name w:val="Subtitle"/>
    <w:basedOn w:val="Normal"/>
    <w:qFormat/>
    <w:pPr>
      <w:jc w:val="center"/>
    </w:pPr>
    <w:rPr>
      <w:sz w:val="2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FollowedHyperlink">
    <w:name w:val="FollowedHyperlink"/>
    <w:basedOn w:val="DefaultParagraphFont"/>
    <w:semiHidden/>
    <w:rPr>
      <w:color w:val="800080"/>
      <w:u w:val="single"/>
    </w:rPr>
  </w:style>
  <w:style w:type="paragraph" w:styleId="BodyText">
    <w:name w:val="Body Text"/>
    <w:basedOn w:val="Normal"/>
    <w:semiHidden/>
    <w:rPr>
      <w:rFonts w:ascii="Baskerville Old Face" w:hAnsi="Baskerville Old Face"/>
      <w:b/>
      <w:bCs/>
    </w:rPr>
  </w:style>
  <w:style w:type="paragraph" w:styleId="BodyTextIndent">
    <w:name w:val="Body Text Indent"/>
    <w:basedOn w:val="Normal"/>
    <w:semiHidden/>
    <w:pPr>
      <w:ind w:left="5040"/>
      <w:jc w:val="center"/>
    </w:pPr>
    <w:rPr>
      <w:rFonts w:ascii="Baskerville Old Face" w:hAnsi="Baskerville Old Face"/>
    </w:rPr>
  </w:style>
  <w:style w:type="paragraph" w:styleId="BodyText2">
    <w:name w:val="Body Text 2"/>
    <w:basedOn w:val="Normal"/>
    <w:semiHidden/>
    <w:pPr>
      <w:jc w:val="center"/>
    </w:pPr>
    <w:rPr>
      <w:rFonts w:ascii="Baskerville Old Face" w:hAnsi="Baskerville Old Fac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States that have implemented Pre-registration: Florida, Hawaii, North Carolina, Rhode Island, California (17-year-olds), and M</vt:lpstr>
    </vt:vector>
  </TitlesOfParts>
  <Company>fairvote</Company>
  <LinksUpToDate>false</LinksUpToDate>
  <CharactersWithSpaces>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States that have implemented Pre-registration: Florida, Hawaii, North Carolina, Rhode Island, California (17-year-olds), and M</dc:title>
  <dc:subject/>
  <dc:creator>Rguterman</dc:creator>
  <cp:keywords/>
  <dc:description/>
  <cp:lastModifiedBy>TSanchez</cp:lastModifiedBy>
  <cp:revision>2</cp:revision>
  <cp:lastPrinted>2010-06-29T19:56:00Z</cp:lastPrinted>
  <dcterms:created xsi:type="dcterms:W3CDTF">2010-07-01T20:40:00Z</dcterms:created>
  <dcterms:modified xsi:type="dcterms:W3CDTF">2010-07-01T20:40:00Z</dcterms:modified>
</cp:coreProperties>
</file>